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湖北洪伯车辆有限公司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0717-2021-EO 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p>
            <w:pPr>
              <w:snapToGrid w:val="0"/>
              <w:spacing w:line="320" w:lineRule="exact"/>
              <w:ind w:left="1309"/>
              <w:rPr>
                <w:sz w:val="22"/>
                <w:szCs w:val="22"/>
                <w:highlight w:val="yellow"/>
              </w:rPr>
            </w:pPr>
            <w:r>
              <w:rPr>
                <w:sz w:val="22"/>
                <w:szCs w:val="22"/>
                <w:highlight w:val="yellow"/>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江荣超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ISC-JSZJ-401</w:t>
            </w:r>
          </w:p>
          <w:p>
            <w:pPr>
              <w:snapToGrid w:val="0"/>
              <w:spacing w:line="320" w:lineRule="exact"/>
              <w:ind w:left="1309"/>
              <w:rPr>
                <w:sz w:val="22"/>
                <w:szCs w:val="22"/>
                <w:highlight w:val="yellow"/>
              </w:rPr>
            </w:pPr>
            <w:r>
              <w:rPr>
                <w:sz w:val="22"/>
                <w:szCs w:val="22"/>
                <w:highlight w:val="yellow"/>
              </w:rPr>
              <w:t>ISC-JSZJ-401</w:t>
            </w:r>
          </w:p>
          <w:p>
            <w:pPr>
              <w:snapToGrid w:val="0"/>
              <w:spacing w:line="320" w:lineRule="exact"/>
              <w:ind w:left="1309"/>
              <w:rPr>
                <w:sz w:val="22"/>
                <w:szCs w:val="22"/>
                <w:highlight w:val="yellow"/>
              </w:rPr>
            </w:pPr>
            <w:r>
              <w:rPr>
                <w:sz w:val="22"/>
                <w:szCs w:val="22"/>
                <w:highlight w:val="yellow"/>
              </w:rPr>
              <w:t>东风十堰发动机部件有限公司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941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2021-11-08T06:41:52Z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