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2"/>
        <w:tblW w:w="14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694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技术部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常文礼</w:t>
            </w:r>
            <w:r>
              <w:rPr>
                <w:rFonts w:hint="eastAsia"/>
                <w:sz w:val="24"/>
                <w:szCs w:val="24"/>
              </w:rPr>
              <w:t xml:space="preserve">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樊永宁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杨杰</w:t>
            </w:r>
            <w:r>
              <w:rPr>
                <w:rFonts w:hint="eastAsia"/>
                <w:sz w:val="24"/>
                <w:szCs w:val="24"/>
              </w:rPr>
              <w:t xml:space="preserve">     审核时间：202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9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694" w:type="dxa"/>
            <w:vAlign w:val="center"/>
          </w:tcPr>
          <w:p>
            <w:r>
              <w:rPr>
                <w:rFonts w:hint="eastAsia"/>
              </w:rPr>
              <w:t>审核条款：</w:t>
            </w:r>
            <w:r>
              <w:rPr>
                <w:rFonts w:hint="eastAsia"/>
                <w:szCs w:val="21"/>
                <w:lang w:val="en-US" w:eastAsia="zh-CN"/>
              </w:rPr>
              <w:t>EO: 5.3/6.1.2/6.2/8.1/8.2/9.1.2</w:t>
            </w:r>
          </w:p>
        </w:tc>
        <w:tc>
          <w:tcPr>
            <w:tcW w:w="89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60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EO5.3</w:t>
            </w:r>
          </w:p>
          <w:p>
            <w:pPr>
              <w:pStyle w:val="2"/>
            </w:pPr>
          </w:p>
        </w:tc>
        <w:tc>
          <w:tcPr>
            <w:tcW w:w="10694" w:type="dxa"/>
            <w:vAlign w:val="center"/>
          </w:tcPr>
          <w:p>
            <w:pPr>
              <w:ind w:firstLine="42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部门负责人：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常文礼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公司最高管理者根据产品要求、顾客要求以及公司</w:t>
            </w:r>
            <w:r>
              <w:rPr>
                <w:rFonts w:hint="eastAsia"/>
                <w:lang w:eastAsia="zh-CN"/>
              </w:rPr>
              <w:t>成产</w:t>
            </w:r>
            <w:r>
              <w:rPr>
                <w:rFonts w:hint="eastAsia"/>
              </w:rPr>
              <w:t>和发展的要求建立适合于公司自身情况的公司组织架构，同时建立《岗位职责说明书》来规范公司各级组织架构及相应岗位职责的控制，确保各层次职责、权限和相互关系予以规定并得到沟通和互相理解；</w:t>
            </w:r>
          </w:p>
          <w:p>
            <w:r>
              <w:rPr>
                <w:rFonts w:hint="eastAsia"/>
              </w:rPr>
              <w:t>职责明确，回答基本正确，沟通顺畅。</w:t>
            </w:r>
          </w:p>
        </w:tc>
        <w:tc>
          <w:tcPr>
            <w:tcW w:w="8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60" w:type="dxa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 w:eastAsia="宋体" w:cs="宋体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环境因素、危险源识别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6.1.2</w:t>
            </w: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694" w:type="dxa"/>
            <w:vAlign w:val="center"/>
          </w:tcPr>
          <w:p>
            <w:pPr>
              <w:ind w:firstLine="420" w:firstLineChars="200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</w:rPr>
              <w:t>实施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  <w:lang w:eastAsia="zh-CN"/>
              </w:rPr>
              <w:t xml:space="preserve"> “环境因素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危险因素辨识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  <w:lang w:eastAsia="zh-CN"/>
              </w:rPr>
              <w:t>识别评价控制程序”，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</w:rPr>
              <w:t>负责所属区域范围内环境因素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危险因素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</w:rPr>
              <w:t>的识别、评价，确定重要环境因素，并报送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</w:rPr>
              <w:t>。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</w:rPr>
              <w:t>如下;</w:t>
            </w:r>
          </w:p>
          <w:p>
            <w:pPr>
              <w:pStyle w:val="2"/>
              <w:ind w:firstLine="420" w:firstLineChars="200"/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</w:rPr>
              <w:t>提供了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  <w:lang w:eastAsia="zh-CN"/>
              </w:rPr>
              <w:t>《环境因素识别与评价表》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</w:rPr>
              <w:t>，识别的环境因素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</w:rPr>
              <w:t>进行了评价，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</w:rPr>
              <w:t>识别出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</w:rPr>
              <w:t>办公活动中产生的纸张等消耗、固废排放、生活废水排放等环境因素。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</w:rPr>
              <w:t>提供了“重要环境因素清单”：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</w:rPr>
              <w:t>识别出固废、火灾。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</w:rPr>
              <w:t>提供了针对重要环境因素，编的环境目标、指标及管理方案，内容包括：目标、指标、管理措施、完成时间、资金投入等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提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供了《危险因素辨识与评价登记表》，对活动场所产生的危险源辨识并进行风险评价，以确定控制措施，经查阅已辨识出：漏电、车辆未定期保养、高空坠物、等情况产生的火灾、触电、意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外伤害等危险因素。 </w:t>
            </w:r>
            <w:r>
              <w:rPr>
                <w:rFonts w:hint="eastAsia"/>
                <w:bCs w:val="0"/>
                <w:color w:val="000000" w:themeColor="text1"/>
                <w:spacing w:val="0"/>
                <w:sz w:val="21"/>
                <w:szCs w:val="21"/>
              </w:rPr>
              <w:t xml:space="preserve">  </w:t>
            </w:r>
          </w:p>
          <w:p>
            <w:pPr>
              <w:pStyle w:val="2"/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提供了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《重大危险源清单》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涉及本部门的不可接受风险有：火灾，触电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</w:p>
        </w:tc>
        <w:tc>
          <w:tcPr>
            <w:tcW w:w="8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60" w:type="dxa"/>
          </w:tcPr>
          <w:p>
            <w:pPr>
              <w:spacing w:line="28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管理目标及其实现的策划</w:t>
            </w:r>
          </w:p>
          <w:p>
            <w:pPr>
              <w:spacing w:line="28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60" w:type="dxa"/>
          </w:tcPr>
          <w:p>
            <w:pPr>
              <w:spacing w:line="280" w:lineRule="exact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Cs w:val="22"/>
              </w:rPr>
              <w:t>O6.2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694" w:type="dxa"/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lang w:eastAsia="zh-CN"/>
              </w:rPr>
              <w:t>企业</w:t>
            </w:r>
            <w:r>
              <w:rPr>
                <w:rFonts w:hint="eastAsia"/>
              </w:rPr>
              <w:t>对管理体系所需的相关职能、层次和过程设定管理目标。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  <w:lang w:eastAsia="zh-CN"/>
              </w:rPr>
              <w:t>技术部</w:t>
            </w:r>
            <w:r>
              <w:rPr>
                <w:rFonts w:hint="eastAsia" w:hAnsi="宋体" w:cs="宋体"/>
                <w:kern w:val="0"/>
              </w:rPr>
              <w:t>的目标分解为：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  <w:rPr>
                <w:rFonts w:hint="eastAsia" w:hAnsi="宋体" w:eastAsia="宋体" w:cs="宋体"/>
                <w:kern w:val="0"/>
                <w:lang w:eastAsia="zh-CN"/>
              </w:rPr>
            </w:pPr>
            <w:r>
              <w:rPr>
                <w:rFonts w:hint="eastAsia" w:hAnsi="宋体" w:cs="宋体"/>
                <w:kern w:val="0"/>
              </w:rPr>
              <w:t>节能降耗执行合格率≥95%</w:t>
            </w:r>
            <w:r>
              <w:rPr>
                <w:rFonts w:hint="eastAsia" w:hAnsi="宋体" w:cs="宋体"/>
                <w:kern w:val="0"/>
                <w:lang w:eastAsia="zh-CN"/>
              </w:rPr>
              <w:t>（检查合格次数/考核期内检查次数*100%）</w:t>
            </w:r>
          </w:p>
          <w:p>
            <w:pPr>
              <w:pStyle w:val="2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提交管理评审会议。查到</w:t>
            </w:r>
            <w:r>
              <w:rPr>
                <w:rFonts w:hint="eastAsia"/>
                <w:color w:val="000000"/>
                <w:lang w:eastAsia="zh-CN"/>
              </w:rPr>
              <w:t>“</w:t>
            </w:r>
            <w:r>
              <w:rPr>
                <w:rFonts w:hint="eastAsia"/>
                <w:color w:val="000000"/>
                <w:lang w:val="en-US" w:eastAsia="zh-CN"/>
              </w:rPr>
              <w:t>安全、</w:t>
            </w:r>
            <w:r>
              <w:rPr>
                <w:rFonts w:hint="eastAsia"/>
                <w:color w:val="000000"/>
                <w:szCs w:val="22"/>
              </w:rPr>
              <w:t>环境目标指标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及</w:t>
            </w:r>
            <w:r>
              <w:rPr>
                <w:rFonts w:hint="eastAsia"/>
                <w:color w:val="000000"/>
                <w:szCs w:val="22"/>
              </w:rPr>
              <w:t>管理方案</w:t>
            </w:r>
            <w:r>
              <w:rPr>
                <w:rFonts w:hint="eastAsia"/>
                <w:color w:val="000000"/>
                <w:szCs w:val="22"/>
                <w:lang w:eastAsia="zh-CN"/>
              </w:rPr>
              <w:t>”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 xml:space="preserve"> ，</w:t>
            </w:r>
            <w:r>
              <w:rPr>
                <w:rFonts w:hint="eastAsia"/>
                <w:color w:val="000000"/>
                <w:szCs w:val="22"/>
              </w:rPr>
              <w:t>针对重要环境因素和重大危险源制订了相应的管理方案。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编制：李鑫  批准：宁丽春  时间：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21年1月10日</w:t>
            </w:r>
            <w:r>
              <w:rPr>
                <w:rFonts w:hint="eastAsia"/>
                <w:color w:val="000000"/>
              </w:rPr>
              <w:t>，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提供2021.1-6</w:t>
            </w:r>
            <w:r>
              <w:rPr>
                <w:rFonts w:hint="eastAsia"/>
                <w:color w:val="000000"/>
              </w:rPr>
              <w:t>环境 绩效的监视和测量检查记录表</w:t>
            </w:r>
            <w:r>
              <w:rPr>
                <w:rFonts w:hint="eastAsia"/>
                <w:color w:val="000000"/>
                <w:lang w:val="en-US" w:eastAsia="zh-CN"/>
              </w:rPr>
              <w:t>，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有检查内容、实施情况符合要求。</w:t>
            </w:r>
          </w:p>
        </w:tc>
        <w:tc>
          <w:tcPr>
            <w:tcW w:w="8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  <w:jc w:val="center"/>
        </w:trPr>
        <w:tc>
          <w:tcPr>
            <w:tcW w:w="2160" w:type="dxa"/>
            <w:vAlign w:val="center"/>
          </w:tcPr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Times New Roman" w:hAnsi="Times New Roman" w:eastAsia="宋体" w:cs="Lucida Sans"/>
                <w:b w:val="0"/>
                <w:bCs/>
                <w:szCs w:val="20"/>
              </w:rPr>
              <w:t>环境和职业健康安全运行控制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宋体" w:cs="Lucida Sans"/>
                <w:b w:val="0"/>
                <w:bCs/>
                <w:color w:val="auto"/>
                <w:szCs w:val="20"/>
              </w:rPr>
            </w:pPr>
            <w:r>
              <w:rPr>
                <w:rFonts w:hint="eastAsia" w:ascii="Times New Roman" w:hAnsi="Times New Roman" w:eastAsia="宋体" w:cs="Lucida Sans"/>
                <w:b w:val="0"/>
                <w:bCs/>
                <w:color w:val="auto"/>
                <w:szCs w:val="20"/>
              </w:rPr>
              <w:t>E</w:t>
            </w:r>
            <w:r>
              <w:rPr>
                <w:rFonts w:hint="eastAsia" w:cs="Lucida Sans"/>
                <w:b w:val="0"/>
                <w:bCs/>
                <w:color w:val="auto"/>
                <w:szCs w:val="20"/>
                <w:lang w:val="en-US" w:eastAsia="zh-CN"/>
              </w:rPr>
              <w:t>O</w:t>
            </w:r>
            <w:r>
              <w:rPr>
                <w:rFonts w:ascii="Times New Roman" w:hAnsi="Times New Roman" w:eastAsia="宋体" w:cs="Lucida Sans"/>
                <w:b w:val="0"/>
                <w:bCs/>
                <w:color w:val="auto"/>
                <w:szCs w:val="20"/>
              </w:rPr>
              <w:t>8.1</w:t>
            </w:r>
          </w:p>
          <w:p/>
        </w:tc>
        <w:tc>
          <w:tcPr>
            <w:tcW w:w="10694" w:type="dxa"/>
            <w:vAlign w:val="center"/>
          </w:tcPr>
          <w:p>
            <w:pPr>
              <w:ind w:firstLine="420" w:firstLineChars="200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本部门执行节能降耗控制程序、固体废弃物控制程序、环境管理控制程序、档案管理制定合同管理制定、印章管理制度、代理工作办法项目管理手册</w:t>
            </w:r>
            <w:r>
              <w:rPr>
                <w:rFonts w:hint="eastAsia"/>
                <w:b w:val="0"/>
                <w:bCs/>
                <w:sz w:val="21"/>
                <w:szCs w:val="21"/>
                <w:lang w:val="en-GB"/>
              </w:rPr>
              <w:t>、车辆管理规定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等。</w:t>
            </w:r>
          </w:p>
          <w:p>
            <w:pPr>
              <w:ind w:firstLine="420" w:firstLineChars="200"/>
              <w:rPr>
                <w:rFonts w:ascii="宋体" w:hAnsi="宋体" w:cs="宋体"/>
                <w:b w:val="0"/>
                <w:bCs/>
                <w:sz w:val="21"/>
                <w:szCs w:val="21"/>
                <w:lang w:val="en-GB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GB"/>
              </w:rPr>
              <w:t>运行控制情况：办公过程注意节约用电，做到人走灯灭，电脑长时间不用时关机，下班前要关闭电源；办公区域内配置的灭火器,在有效期内。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GB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办公过程使用的电器如：空调、电脑、灯具均符合安全设计要求，使用过程注意安全，预防触电，工作时间平均每天8小时；</w:t>
            </w:r>
          </w:p>
          <w:p>
            <w:pPr>
              <w:ind w:firstLine="420" w:firstLineChars="200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GB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GB"/>
              </w:rPr>
              <w:t>办公用品按要求由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厂办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GB"/>
              </w:rPr>
              <w:t>负责发放，作好记录；</w:t>
            </w:r>
          </w:p>
          <w:p>
            <w:pPr>
              <w:ind w:firstLine="420" w:firstLineChars="200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GB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GB"/>
              </w:rPr>
              <w:t>相关方施加影响：公司能够控制或能够施加影响的相关方有周边商户、固体废弃物处理等。提供了“致相关方的公开信”，将公司关于办公用品采购、固体废弃物处理等方面环境控制要求发放到了周边商户，督促影响各相关方按照环境管理体系要求对环境施加影响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GB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GB"/>
              </w:rPr>
              <w:t>公司办公产生的废硒鼓、废墨盒、色带由供应方公司回收；</w:t>
            </w:r>
          </w:p>
          <w:p>
            <w:pP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查：废弃物回收处理登记表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,无异常</w:t>
            </w:r>
          </w:p>
          <w:p>
            <w:pPr>
              <w:ind w:firstLine="420" w:firstLineChars="200"/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驾驶员要求遵守道路交通安全法，不违章驾车，驾驶证和车辆定期年审，确保行车安全。</w:t>
            </w:r>
          </w:p>
          <w:p>
            <w:pPr>
              <w:ind w:firstLine="420" w:firstLineChars="200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现场查看办公区域配备有符合要求的灭火器，综合办设备、电器状态良好，无安全隐患。</w:t>
            </w:r>
          </w:p>
          <w:p>
            <w:pPr>
              <w:pStyle w:val="2"/>
              <w:ind w:firstLine="420" w:firstLineChars="200"/>
            </w:pPr>
            <w:r>
              <w:rPr>
                <w:rFonts w:hint="eastAsia" w:ascii="宋体" w:hAnsi="宋体" w:cs="宋体"/>
                <w:b w:val="0"/>
                <w:bCs/>
                <w:spacing w:val="0"/>
                <w:sz w:val="21"/>
                <w:szCs w:val="21"/>
              </w:rPr>
              <w:t>提供了工作环境检查表，抽查</w:t>
            </w:r>
            <w:r>
              <w:rPr>
                <w:rFonts w:hint="eastAsia" w:ascii="宋体" w:hAnsi="宋体" w:cs="宋体"/>
                <w:b w:val="0"/>
                <w:bCs/>
                <w:spacing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0"/>
                <w:sz w:val="21"/>
                <w:szCs w:val="21"/>
                <w:highlight w:val="none"/>
                <w:lang w:val="en-US" w:eastAsia="zh-CN"/>
              </w:rPr>
              <w:t>2021年1月-6月</w:t>
            </w:r>
            <w:r>
              <w:rPr>
                <w:rFonts w:hint="eastAsia" w:ascii="宋体" w:hAnsi="宋体" w:cs="宋体"/>
                <w:b w:val="0"/>
                <w:bCs/>
                <w:spacing w:val="0"/>
                <w:sz w:val="21"/>
                <w:szCs w:val="21"/>
                <w:highlight w:val="none"/>
              </w:rPr>
              <w:t>的检</w:t>
            </w:r>
            <w:r>
              <w:rPr>
                <w:rFonts w:hint="eastAsia" w:ascii="宋体" w:hAnsi="宋体" w:cs="宋体"/>
                <w:b w:val="0"/>
                <w:bCs/>
                <w:spacing w:val="0"/>
                <w:sz w:val="21"/>
                <w:szCs w:val="21"/>
              </w:rPr>
              <w:t>查表，对办公环境、卫生等情况进行了检查，无</w:t>
            </w:r>
            <w:r>
              <w:rPr>
                <w:rFonts w:hint="eastAsia" w:ascii="宋体" w:hAnsi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  <w:t>严重</w:t>
            </w:r>
            <w:r>
              <w:rPr>
                <w:rFonts w:hint="eastAsia" w:ascii="宋体" w:hAnsi="宋体" w:cs="宋体"/>
                <w:b w:val="0"/>
                <w:bCs/>
                <w:spacing w:val="0"/>
                <w:sz w:val="21"/>
                <w:szCs w:val="21"/>
              </w:rPr>
              <w:t>问题</w:t>
            </w:r>
            <w:r>
              <w:rPr>
                <w:rFonts w:hint="eastAsia" w:ascii="宋体" w:hAnsi="宋体" w:cs="宋体"/>
                <w:b w:val="0"/>
                <w:bCs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  <w:t>一般问题已经解决关闭</w:t>
            </w:r>
            <w:r>
              <w:rPr>
                <w:rFonts w:hint="eastAsia" w:ascii="宋体" w:hAnsi="宋体" w:cs="宋体"/>
                <w:b w:val="0"/>
                <w:bCs/>
                <w:spacing w:val="0"/>
                <w:sz w:val="21"/>
                <w:szCs w:val="21"/>
              </w:rPr>
              <w:t>。</w:t>
            </w:r>
            <w:bookmarkStart w:id="0" w:name="_GoBack"/>
            <w:bookmarkEnd w:id="0"/>
          </w:p>
        </w:tc>
        <w:tc>
          <w:tcPr>
            <w:tcW w:w="8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60" w:type="dxa"/>
            <w:vAlign w:val="center"/>
          </w:tcPr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应急准备和响应</w:t>
            </w:r>
          </w:p>
        </w:tc>
        <w:tc>
          <w:tcPr>
            <w:tcW w:w="960" w:type="dxa"/>
            <w:vAlign w:val="center"/>
          </w:tcPr>
          <w:p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EO8.2</w:t>
            </w:r>
          </w:p>
        </w:tc>
        <w:tc>
          <w:tcPr>
            <w:tcW w:w="10694" w:type="dxa"/>
            <w:vAlign w:val="center"/>
          </w:tcPr>
          <w:p>
            <w:pPr>
              <w:pStyle w:val="2"/>
            </w:pPr>
            <w:r>
              <w:rPr>
                <w:rFonts w:hint="eastAsia" w:ascii="宋体" w:hAnsi="宋体" w:cs="宋体"/>
                <w:bCs w:val="0"/>
                <w:spacing w:val="0"/>
                <w:szCs w:val="21"/>
              </w:rPr>
              <w:t>参加了应急预案演练，详见办公室审核记录。</w:t>
            </w:r>
          </w:p>
        </w:tc>
        <w:tc>
          <w:tcPr>
            <w:tcW w:w="8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60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合规性评价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9.1.2 </w:t>
            </w:r>
          </w:p>
        </w:tc>
        <w:tc>
          <w:tcPr>
            <w:tcW w:w="10694" w:type="dxa"/>
            <w:vAlign w:val="center"/>
          </w:tcPr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根据《</w:t>
            </w:r>
            <w:r>
              <w:t>法律法规和其它要求控制程序</w:t>
            </w:r>
            <w:r>
              <w:rPr>
                <w:rFonts w:hint="eastAsia"/>
              </w:rPr>
              <w:t>》要求，随时对法律法规的更新进行跟踪，并进行补充。于</w:t>
            </w:r>
            <w:r>
              <w:rPr>
                <w:rFonts w:hint="eastAsia"/>
                <w:lang w:val="en-US" w:eastAsia="zh-CN"/>
              </w:rPr>
              <w:t>2020.5.23</w:t>
            </w:r>
          </w:p>
          <w:p>
            <w:r>
              <w:rPr>
                <w:rFonts w:hint="eastAsia"/>
              </w:rPr>
              <w:t>识别了法律法规清单。获取渠道为网上下载。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提供《法律法规清单》收集的环境和安全法律法规。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组织进行了合规性的评价，评价时间为</w:t>
            </w:r>
            <w:r>
              <w:rPr>
                <w:rFonts w:hint="eastAsia"/>
                <w:lang w:val="en-US" w:eastAsia="zh-CN"/>
              </w:rPr>
              <w:t>2021.4.25</w:t>
            </w:r>
            <w:r>
              <w:rPr>
                <w:rFonts w:hint="eastAsia"/>
              </w:rPr>
              <w:t xml:space="preserve"> </w:t>
            </w:r>
          </w:p>
          <w:p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查合规性评价记录：批准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宁丽春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lang w:val="en-US" w:eastAsia="zh-CN"/>
              </w:rPr>
              <w:t>2021.4.25</w:t>
            </w:r>
            <w:r>
              <w:rPr>
                <w:rFonts w:hint="eastAsia"/>
              </w:rPr>
              <w:t xml:space="preserve"> </w:t>
            </w:r>
          </w:p>
          <w:p>
            <w:pPr>
              <w:ind w:firstLine="420" w:firstLineChars="200"/>
              <w:rPr>
                <w:rFonts w:hint="eastAsia" w:ascii="宋体" w:hAnsi="宋体" w:cs="宋体"/>
                <w:bCs w:val="0"/>
                <w:spacing w:val="0"/>
                <w:szCs w:val="21"/>
              </w:rPr>
            </w:pPr>
            <w:r>
              <w:rPr>
                <w:rFonts w:hint="eastAsia"/>
                <w:lang w:eastAsia="zh-CN"/>
              </w:rPr>
              <w:t>经过对《中华人民共和国水污染防治法（修正）》、《中华人民共和国水污染防治实施细则》、《污水综合排放标准》  环境空气质量标准；有关省环境保护条例等《中华人民共和国大气污染物防治法》；中华人民共和国环境噪声污染防治法、工矿企业厂界噪声标准、市建筑垃圾管理规定；建设部157号令《城市生活垃圾管理办法》；固体废弃物管理程序等、《中华人民共和国节约能源法》、节能降耗管理程序符合性评审，公司无污水排放、粉尘、噪声控制有效，达标排放，固体废弃物控制有效，能源、资源管理方法得当，无违反法律法规的</w:t>
            </w:r>
            <w:r>
              <w:rPr>
                <w:rFonts w:hint="eastAsia"/>
                <w:lang w:val="en-US" w:eastAsia="zh-CN"/>
              </w:rPr>
              <w:t>事</w:t>
            </w:r>
            <w:r>
              <w:rPr>
                <w:rFonts w:hint="eastAsia"/>
                <w:lang w:eastAsia="zh-CN"/>
              </w:rPr>
              <w:t>发生。</w:t>
            </w:r>
          </w:p>
        </w:tc>
        <w:tc>
          <w:tcPr>
            <w:tcW w:w="89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>
      <w:pPr>
        <w:pStyle w:val="9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7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10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ISC-B-I-19 管理体系审核记录表(03版)</w:t>
                </w:r>
              </w:p>
            </w:txbxContent>
          </v:textbox>
        </v:shape>
      </w:pict>
    </w:r>
    <w:r>
      <w:rPr>
        <w:rStyle w:val="17"/>
        <w:rFonts w:hint="default"/>
        <w:w w:val="90"/>
      </w:rPr>
      <w:t>Beijing International Standard united Certification Co.,Ltd.</w:t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none"/>
      <w:pStyle w:val="24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17A34"/>
    <w:rsid w:val="000237F6"/>
    <w:rsid w:val="00024C50"/>
    <w:rsid w:val="0003373A"/>
    <w:rsid w:val="00036143"/>
    <w:rsid w:val="00046917"/>
    <w:rsid w:val="00071661"/>
    <w:rsid w:val="00090528"/>
    <w:rsid w:val="000A53EB"/>
    <w:rsid w:val="000B0723"/>
    <w:rsid w:val="00181E98"/>
    <w:rsid w:val="00193307"/>
    <w:rsid w:val="001A2D7F"/>
    <w:rsid w:val="001E6B5E"/>
    <w:rsid w:val="001F0932"/>
    <w:rsid w:val="002426BC"/>
    <w:rsid w:val="002539A0"/>
    <w:rsid w:val="00292C83"/>
    <w:rsid w:val="002B311A"/>
    <w:rsid w:val="002E1F88"/>
    <w:rsid w:val="003022CC"/>
    <w:rsid w:val="00337922"/>
    <w:rsid w:val="00340867"/>
    <w:rsid w:val="003518B5"/>
    <w:rsid w:val="00366399"/>
    <w:rsid w:val="00375E04"/>
    <w:rsid w:val="00380837"/>
    <w:rsid w:val="00384E2C"/>
    <w:rsid w:val="003A198A"/>
    <w:rsid w:val="003B3E99"/>
    <w:rsid w:val="003D3E93"/>
    <w:rsid w:val="00410914"/>
    <w:rsid w:val="00440658"/>
    <w:rsid w:val="00464DDE"/>
    <w:rsid w:val="004674DB"/>
    <w:rsid w:val="00470352"/>
    <w:rsid w:val="00484369"/>
    <w:rsid w:val="004920B1"/>
    <w:rsid w:val="004B720C"/>
    <w:rsid w:val="004E5837"/>
    <w:rsid w:val="00526127"/>
    <w:rsid w:val="00536930"/>
    <w:rsid w:val="00564E53"/>
    <w:rsid w:val="005D203C"/>
    <w:rsid w:val="0060324D"/>
    <w:rsid w:val="00644FE2"/>
    <w:rsid w:val="00646FEC"/>
    <w:rsid w:val="00662A0A"/>
    <w:rsid w:val="00674B11"/>
    <w:rsid w:val="0067640C"/>
    <w:rsid w:val="006836CF"/>
    <w:rsid w:val="006E678B"/>
    <w:rsid w:val="006F2701"/>
    <w:rsid w:val="0072147E"/>
    <w:rsid w:val="0072416A"/>
    <w:rsid w:val="00746279"/>
    <w:rsid w:val="007757F3"/>
    <w:rsid w:val="00792877"/>
    <w:rsid w:val="00797420"/>
    <w:rsid w:val="007A1DA8"/>
    <w:rsid w:val="007A5046"/>
    <w:rsid w:val="007D25D3"/>
    <w:rsid w:val="007E6AEB"/>
    <w:rsid w:val="007F14F1"/>
    <w:rsid w:val="008012C2"/>
    <w:rsid w:val="00815D2E"/>
    <w:rsid w:val="00825954"/>
    <w:rsid w:val="00862507"/>
    <w:rsid w:val="008973EE"/>
    <w:rsid w:val="00951B47"/>
    <w:rsid w:val="00971600"/>
    <w:rsid w:val="00976228"/>
    <w:rsid w:val="009973B4"/>
    <w:rsid w:val="009C28C1"/>
    <w:rsid w:val="009E5A60"/>
    <w:rsid w:val="009F0149"/>
    <w:rsid w:val="009F2F86"/>
    <w:rsid w:val="009F7EED"/>
    <w:rsid w:val="00A02F21"/>
    <w:rsid w:val="00A276A6"/>
    <w:rsid w:val="00A3294E"/>
    <w:rsid w:val="00A51134"/>
    <w:rsid w:val="00AF0AAB"/>
    <w:rsid w:val="00B1087D"/>
    <w:rsid w:val="00B160FB"/>
    <w:rsid w:val="00B16488"/>
    <w:rsid w:val="00B1795C"/>
    <w:rsid w:val="00B32E56"/>
    <w:rsid w:val="00B475D1"/>
    <w:rsid w:val="00B6150E"/>
    <w:rsid w:val="00B73A93"/>
    <w:rsid w:val="00B95A05"/>
    <w:rsid w:val="00BB0BC9"/>
    <w:rsid w:val="00BC6844"/>
    <w:rsid w:val="00BE29A2"/>
    <w:rsid w:val="00BF597E"/>
    <w:rsid w:val="00C5177A"/>
    <w:rsid w:val="00C51A36"/>
    <w:rsid w:val="00C55228"/>
    <w:rsid w:val="00C80696"/>
    <w:rsid w:val="00CA1D28"/>
    <w:rsid w:val="00CD0F2B"/>
    <w:rsid w:val="00CD278B"/>
    <w:rsid w:val="00CE315A"/>
    <w:rsid w:val="00CE6D06"/>
    <w:rsid w:val="00CF776D"/>
    <w:rsid w:val="00D06F59"/>
    <w:rsid w:val="00D11C38"/>
    <w:rsid w:val="00D77D72"/>
    <w:rsid w:val="00D8388C"/>
    <w:rsid w:val="00DA2A63"/>
    <w:rsid w:val="00DB65E4"/>
    <w:rsid w:val="00DF2EA5"/>
    <w:rsid w:val="00E7307B"/>
    <w:rsid w:val="00E754A7"/>
    <w:rsid w:val="00E80CCA"/>
    <w:rsid w:val="00E93330"/>
    <w:rsid w:val="00E954C4"/>
    <w:rsid w:val="00EB0164"/>
    <w:rsid w:val="00ED0F62"/>
    <w:rsid w:val="00F305C2"/>
    <w:rsid w:val="00F95653"/>
    <w:rsid w:val="00FB3DD3"/>
    <w:rsid w:val="00FC02C4"/>
    <w:rsid w:val="00FD726A"/>
    <w:rsid w:val="00FF050E"/>
    <w:rsid w:val="02B84719"/>
    <w:rsid w:val="02FA6253"/>
    <w:rsid w:val="032C3757"/>
    <w:rsid w:val="036603D4"/>
    <w:rsid w:val="045E4F82"/>
    <w:rsid w:val="04617F72"/>
    <w:rsid w:val="04C04927"/>
    <w:rsid w:val="05B11F2A"/>
    <w:rsid w:val="05F70356"/>
    <w:rsid w:val="06400A4B"/>
    <w:rsid w:val="06B82DB2"/>
    <w:rsid w:val="06E01EC3"/>
    <w:rsid w:val="08296EC1"/>
    <w:rsid w:val="09535250"/>
    <w:rsid w:val="09806D23"/>
    <w:rsid w:val="0A400EB5"/>
    <w:rsid w:val="0B156FC6"/>
    <w:rsid w:val="0B256D46"/>
    <w:rsid w:val="0BB74A17"/>
    <w:rsid w:val="0C1821A1"/>
    <w:rsid w:val="0C5F0639"/>
    <w:rsid w:val="0C85106D"/>
    <w:rsid w:val="0CAB3A70"/>
    <w:rsid w:val="0D66233C"/>
    <w:rsid w:val="0D8B1FB3"/>
    <w:rsid w:val="0F0045E0"/>
    <w:rsid w:val="0F6442AD"/>
    <w:rsid w:val="0FDA7F53"/>
    <w:rsid w:val="108219C2"/>
    <w:rsid w:val="11705116"/>
    <w:rsid w:val="11DC56E5"/>
    <w:rsid w:val="127051AD"/>
    <w:rsid w:val="15110FDA"/>
    <w:rsid w:val="155A19C5"/>
    <w:rsid w:val="16D40BDC"/>
    <w:rsid w:val="17B15042"/>
    <w:rsid w:val="17B20018"/>
    <w:rsid w:val="18DB38B5"/>
    <w:rsid w:val="18FA2BF5"/>
    <w:rsid w:val="1A120A39"/>
    <w:rsid w:val="1AD215C7"/>
    <w:rsid w:val="1B2C7B1C"/>
    <w:rsid w:val="1C382A81"/>
    <w:rsid w:val="1C9868E8"/>
    <w:rsid w:val="1CE31154"/>
    <w:rsid w:val="1E295883"/>
    <w:rsid w:val="1E565434"/>
    <w:rsid w:val="1E90527F"/>
    <w:rsid w:val="1F025B8B"/>
    <w:rsid w:val="1F7830A7"/>
    <w:rsid w:val="21747ECE"/>
    <w:rsid w:val="21973C6B"/>
    <w:rsid w:val="22017E7F"/>
    <w:rsid w:val="22223BA9"/>
    <w:rsid w:val="23544896"/>
    <w:rsid w:val="235E7C88"/>
    <w:rsid w:val="2432182D"/>
    <w:rsid w:val="24335034"/>
    <w:rsid w:val="246B6135"/>
    <w:rsid w:val="24FE116D"/>
    <w:rsid w:val="26E4625C"/>
    <w:rsid w:val="27B53290"/>
    <w:rsid w:val="28A46FFC"/>
    <w:rsid w:val="29A06FDB"/>
    <w:rsid w:val="2A134B34"/>
    <w:rsid w:val="2A712F0F"/>
    <w:rsid w:val="2A716A71"/>
    <w:rsid w:val="2B256E87"/>
    <w:rsid w:val="2B2E2752"/>
    <w:rsid w:val="2B9022F9"/>
    <w:rsid w:val="2BFC024F"/>
    <w:rsid w:val="2C4F03EE"/>
    <w:rsid w:val="2C9B1E1D"/>
    <w:rsid w:val="2F4B0E69"/>
    <w:rsid w:val="30D16CC5"/>
    <w:rsid w:val="31C028B0"/>
    <w:rsid w:val="322A15E5"/>
    <w:rsid w:val="335A51AA"/>
    <w:rsid w:val="37476F8A"/>
    <w:rsid w:val="37E07F07"/>
    <w:rsid w:val="38610411"/>
    <w:rsid w:val="38AA56C2"/>
    <w:rsid w:val="38E10519"/>
    <w:rsid w:val="39827C37"/>
    <w:rsid w:val="3C125F9B"/>
    <w:rsid w:val="3C1959EB"/>
    <w:rsid w:val="3C3C0F86"/>
    <w:rsid w:val="3D2F613A"/>
    <w:rsid w:val="3E1444F6"/>
    <w:rsid w:val="3F3B2173"/>
    <w:rsid w:val="3F882D3C"/>
    <w:rsid w:val="40715AC8"/>
    <w:rsid w:val="40B67F76"/>
    <w:rsid w:val="415E2F32"/>
    <w:rsid w:val="41AB58C1"/>
    <w:rsid w:val="41E277AB"/>
    <w:rsid w:val="429A35A3"/>
    <w:rsid w:val="42DA7B35"/>
    <w:rsid w:val="435C1130"/>
    <w:rsid w:val="43BF2E23"/>
    <w:rsid w:val="442828E9"/>
    <w:rsid w:val="444C757B"/>
    <w:rsid w:val="45C02AD2"/>
    <w:rsid w:val="479741AE"/>
    <w:rsid w:val="49BA3960"/>
    <w:rsid w:val="4A011734"/>
    <w:rsid w:val="4A0F666A"/>
    <w:rsid w:val="4B4B30DE"/>
    <w:rsid w:val="4BFA763C"/>
    <w:rsid w:val="4C4035AE"/>
    <w:rsid w:val="4DDC3C53"/>
    <w:rsid w:val="4E6312F5"/>
    <w:rsid w:val="4F7F35B2"/>
    <w:rsid w:val="5002413A"/>
    <w:rsid w:val="51031C4C"/>
    <w:rsid w:val="51A3128D"/>
    <w:rsid w:val="52B24340"/>
    <w:rsid w:val="531E1C63"/>
    <w:rsid w:val="56311B54"/>
    <w:rsid w:val="56AE40B9"/>
    <w:rsid w:val="5949498B"/>
    <w:rsid w:val="59A85EFD"/>
    <w:rsid w:val="5ACA5AA1"/>
    <w:rsid w:val="5C9F5764"/>
    <w:rsid w:val="5D86343D"/>
    <w:rsid w:val="5DB12D14"/>
    <w:rsid w:val="5E122B4B"/>
    <w:rsid w:val="5E7538CA"/>
    <w:rsid w:val="5EA12B9A"/>
    <w:rsid w:val="5EC928D3"/>
    <w:rsid w:val="5F425B73"/>
    <w:rsid w:val="5F447A9C"/>
    <w:rsid w:val="5F5C48D2"/>
    <w:rsid w:val="5F6A1134"/>
    <w:rsid w:val="5F8E191F"/>
    <w:rsid w:val="5F9641CD"/>
    <w:rsid w:val="613B6C91"/>
    <w:rsid w:val="620C032C"/>
    <w:rsid w:val="628D2779"/>
    <w:rsid w:val="628D5F03"/>
    <w:rsid w:val="62E32E0D"/>
    <w:rsid w:val="64A94EA1"/>
    <w:rsid w:val="64F43146"/>
    <w:rsid w:val="654A5507"/>
    <w:rsid w:val="658C10F3"/>
    <w:rsid w:val="65CA104B"/>
    <w:rsid w:val="66117546"/>
    <w:rsid w:val="66356363"/>
    <w:rsid w:val="66972AAF"/>
    <w:rsid w:val="677E4DCB"/>
    <w:rsid w:val="679C4299"/>
    <w:rsid w:val="68BB08C9"/>
    <w:rsid w:val="6A28647F"/>
    <w:rsid w:val="6A4140D3"/>
    <w:rsid w:val="6A5D69B2"/>
    <w:rsid w:val="6A7021FA"/>
    <w:rsid w:val="6C093A05"/>
    <w:rsid w:val="6C190135"/>
    <w:rsid w:val="6DA65F1D"/>
    <w:rsid w:val="6E031C73"/>
    <w:rsid w:val="6E116960"/>
    <w:rsid w:val="6E46368A"/>
    <w:rsid w:val="6E6B6A6E"/>
    <w:rsid w:val="6EE8797B"/>
    <w:rsid w:val="6F8D04E6"/>
    <w:rsid w:val="6FF46E59"/>
    <w:rsid w:val="7051627C"/>
    <w:rsid w:val="70CA3520"/>
    <w:rsid w:val="71604509"/>
    <w:rsid w:val="71F75030"/>
    <w:rsid w:val="73E237A4"/>
    <w:rsid w:val="73E9008B"/>
    <w:rsid w:val="740C1874"/>
    <w:rsid w:val="75A27521"/>
    <w:rsid w:val="76A44DBB"/>
    <w:rsid w:val="76C24502"/>
    <w:rsid w:val="772935FE"/>
    <w:rsid w:val="77806F2A"/>
    <w:rsid w:val="77F7382C"/>
    <w:rsid w:val="789A4747"/>
    <w:rsid w:val="79CC1A93"/>
    <w:rsid w:val="7A0E74A5"/>
    <w:rsid w:val="7A42130E"/>
    <w:rsid w:val="7AA9407D"/>
    <w:rsid w:val="7ABE7B81"/>
    <w:rsid w:val="7B1F087B"/>
    <w:rsid w:val="7B3C51BC"/>
    <w:rsid w:val="7B53369F"/>
    <w:rsid w:val="7B760BF0"/>
    <w:rsid w:val="7B8757FC"/>
    <w:rsid w:val="7C046C2A"/>
    <w:rsid w:val="7C483276"/>
    <w:rsid w:val="7C4D08BC"/>
    <w:rsid w:val="7D590E23"/>
    <w:rsid w:val="7DAC6B0C"/>
    <w:rsid w:val="7DAD4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rFonts w:ascii="Calibri" w:hAnsi="Calibri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FF0000"/>
      <w:sz w:val="28"/>
    </w:rPr>
  </w:style>
  <w:style w:type="paragraph" w:styleId="7">
    <w:name w:val="Plain Text"/>
    <w:basedOn w:val="1"/>
    <w:qFormat/>
    <w:uiPriority w:val="0"/>
    <w:rPr>
      <w:rFonts w:ascii="宋体" w:hAnsi="Courier New"/>
      <w:sz w:val="24"/>
    </w:r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qFormat/>
    <w:uiPriority w:val="0"/>
    <w:pPr>
      <w:ind w:firstLine="420"/>
      <w:jc w:val="left"/>
    </w:pPr>
    <w:rPr>
      <w:rFonts w:eastAsia="仿宋_GB2312"/>
      <w:color w:val="000000"/>
    </w:rPr>
  </w:style>
  <w:style w:type="character" w:customStyle="1" w:styleId="14">
    <w:name w:val="页眉 Char"/>
    <w:basedOn w:val="1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8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  <w:style w:type="character" w:customStyle="1" w:styleId="19">
    <w:name w:val="info-content-text"/>
    <w:qFormat/>
    <w:uiPriority w:val="0"/>
  </w:style>
  <w:style w:type="character" w:customStyle="1" w:styleId="20">
    <w:name w:val="标题 1 Char"/>
    <w:basedOn w:val="13"/>
    <w:link w:val="3"/>
    <w:qFormat/>
    <w:uiPriority w:val="0"/>
    <w:rPr>
      <w:b/>
      <w:bCs/>
      <w:kern w:val="44"/>
      <w:sz w:val="44"/>
      <w:szCs w:val="4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3">
    <w:name w:val="默认段落字体 Para Char Char Char1 Char"/>
    <w:basedOn w:val="1"/>
    <w:next w:val="1"/>
    <w:qFormat/>
    <w:uiPriority w:val="0"/>
    <w:pPr>
      <w:spacing w:line="240" w:lineRule="atLeast"/>
      <w:ind w:left="420" w:firstLine="420"/>
      <w:jc w:val="left"/>
    </w:pPr>
    <w:rPr>
      <w:szCs w:val="24"/>
    </w:rPr>
  </w:style>
  <w:style w:type="paragraph" w:customStyle="1" w:styleId="24">
    <w:name w:val="附录表标题"/>
    <w:next w:val="1"/>
    <w:qFormat/>
    <w:uiPriority w:val="0"/>
    <w:pPr>
      <w:numPr>
        <w:ilvl w:val="0"/>
        <w:numId w:val="1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D6241C-A5A8-4A56-8A1B-A9D58B9DB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1459</Words>
  <Characters>8319</Characters>
  <Lines>69</Lines>
  <Paragraphs>19</Paragraphs>
  <TotalTime>5</TotalTime>
  <ScaleCrop>false</ScaleCrop>
  <LinksUpToDate>false</LinksUpToDate>
  <CharactersWithSpaces>9759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2021-07-20T08:58:10Z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A7ABCF3E1E4244E88AC215A38AE4DB2F</vt:lpwstr>
  </property>
</Properties>
</file>