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3"/>
            <w:tcBorders>
              <w:top w:val="single" w:color="auto" w:sz="8" w:space="0"/>
            </w:tcBorders>
            <w:vAlign w:val="center"/>
          </w:tcPr>
          <w:p>
            <w:pPr>
              <w:snapToGrid w:val="0"/>
              <w:spacing w:line="280" w:lineRule="exact"/>
              <w:jc w:val="center"/>
              <w:rPr>
                <w:b/>
                <w:sz w:val="20"/>
              </w:rPr>
            </w:pPr>
            <w:bookmarkStart w:id="4" w:name="组织名称"/>
            <w:r>
              <w:rPr>
                <w:color w:val="000000"/>
                <w:szCs w:val="21"/>
              </w:rPr>
              <w:t>华港京和荟（北京）物业管理有限公司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Q：35.15.00</w:t>
            </w:r>
          </w:p>
          <w:p>
            <w:pPr>
              <w:snapToGrid w:val="0"/>
              <w:spacing w:line="280" w:lineRule="exact"/>
              <w:ind w:left="52"/>
              <w:jc w:val="center"/>
              <w:rPr>
                <w:b/>
                <w:sz w:val="20"/>
              </w:rPr>
            </w:pPr>
            <w:r>
              <w:rPr>
                <w:b/>
                <w:sz w:val="20"/>
              </w:rPr>
              <w:t>E：35.15.00</w:t>
            </w:r>
          </w:p>
          <w:p>
            <w:pPr>
              <w:snapToGrid w:val="0"/>
              <w:spacing w:line="280" w:lineRule="exact"/>
              <w:ind w:left="52"/>
              <w:jc w:val="center"/>
              <w:rPr>
                <w:b/>
                <w:sz w:val="20"/>
              </w:rPr>
            </w:pPr>
            <w:r>
              <w:rPr>
                <w:b/>
                <w:sz w:val="20"/>
              </w:rPr>
              <w:t>O：35.15.00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b/>
                <w:sz w:val="20"/>
              </w:rPr>
            </w:pPr>
            <w:r>
              <w:rPr>
                <w:rFonts w:hint="eastAsia"/>
                <w:b/>
                <w:sz w:val="20"/>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Q：35.15.00</w:t>
            </w:r>
          </w:p>
          <w:p>
            <w:pPr>
              <w:snapToGrid w:val="0"/>
              <w:spacing w:line="280" w:lineRule="exact"/>
              <w:ind w:left="52"/>
              <w:jc w:val="center"/>
              <w:rPr>
                <w:b/>
                <w:sz w:val="20"/>
              </w:rPr>
            </w:pPr>
            <w:r>
              <w:rPr>
                <w:b/>
                <w:sz w:val="20"/>
              </w:rPr>
              <w:t>E：35.15.00</w:t>
            </w:r>
          </w:p>
          <w:p>
            <w:pPr>
              <w:snapToGrid w:val="0"/>
              <w:spacing w:line="280" w:lineRule="exact"/>
              <w:jc w:val="center"/>
              <w:rPr>
                <w:b/>
                <w:sz w:val="20"/>
              </w:rPr>
            </w:pPr>
            <w:r>
              <w:rPr>
                <w:b/>
                <w:sz w:val="20"/>
              </w:rPr>
              <w:t>O：35.15.00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r>
              <w:rPr>
                <w:rFonts w:hint="eastAsia"/>
                <w:b/>
                <w:sz w:val="20"/>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vAlign w:val="center"/>
          </w:tcPr>
          <w:p>
            <w:pPr>
              <w:snapToGrid w:val="0"/>
              <w:spacing w:line="360" w:lineRule="exact"/>
              <w:jc w:val="center"/>
              <w:rPr>
                <w:rFonts w:hint="eastAsia" w:eastAsia="宋体"/>
                <w:b/>
                <w:sz w:val="20"/>
                <w:lang w:val="en-US" w:eastAsia="zh-CN"/>
              </w:rPr>
            </w:pPr>
            <w:r>
              <w:rPr>
                <w:rFonts w:hint="eastAsia"/>
                <w:sz w:val="18"/>
                <w:szCs w:val="18"/>
                <w:lang w:val="en-US" w:eastAsia="zh-CN"/>
              </w:rPr>
              <w:t>李雅静</w:t>
            </w:r>
            <w:r>
              <w:rPr>
                <w:rFonts w:hint="eastAsia"/>
                <w:sz w:val="18"/>
                <w:szCs w:val="18"/>
                <w:lang w:eastAsia="zh-CN"/>
              </w:rPr>
              <w:t>、</w:t>
            </w:r>
            <w:r>
              <w:rPr>
                <w:rFonts w:hint="eastAsia"/>
                <w:sz w:val="18"/>
                <w:szCs w:val="18"/>
              </w:rPr>
              <w:t>夏爱俭</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无</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rPr>
                <w:bCs/>
              </w:rPr>
            </w:pPr>
            <w:r>
              <w:rPr>
                <w:rFonts w:hint="eastAsia"/>
                <w:bCs/>
              </w:rPr>
              <w:t>客户开发---项目评估---合同签订---进驻项目现场---物业管理</w:t>
            </w:r>
            <w:r>
              <w:rPr>
                <w:rFonts w:hint="eastAsia" w:ascii="宋体" w:hAnsi="宋体"/>
              </w:rPr>
              <w:t>（</w:t>
            </w:r>
            <w:r>
              <w:rPr>
                <w:rFonts w:hint="eastAsia" w:ascii="宋体" w:hAnsi="宋体"/>
                <w:lang w:val="en-US" w:eastAsia="zh-CN"/>
              </w:rPr>
              <w:t>保安</w:t>
            </w:r>
            <w:r>
              <w:rPr>
                <w:rFonts w:hint="eastAsia" w:ascii="宋体" w:hAnsi="宋体"/>
              </w:rPr>
              <w:t>服务、保洁服务、</w:t>
            </w:r>
            <w:r>
              <w:rPr>
                <w:rFonts w:hint="eastAsia" w:ascii="宋体" w:hAnsi="宋体"/>
                <w:lang w:val="en-US" w:eastAsia="zh-CN"/>
              </w:rPr>
              <w:t>电梯服务</w:t>
            </w:r>
            <w:r>
              <w:rPr>
                <w:rFonts w:hint="eastAsia" w:ascii="宋体" w:hAnsi="宋体"/>
              </w:rPr>
              <w:t>等）-----服务检查</w:t>
            </w:r>
            <w:r>
              <w:rPr>
                <w:rFonts w:hint="eastAsia"/>
                <w:bCs/>
              </w:rPr>
              <w:t>---客户满意调查---回访</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5"/>
            <w:vAlign w:val="center"/>
          </w:tcPr>
          <w:p>
            <w:pPr>
              <w:snapToGrid w:val="0"/>
              <w:spacing w:line="280" w:lineRule="exact"/>
              <w:jc w:val="left"/>
              <w:rPr>
                <w:bCs/>
                <w:sz w:val="20"/>
                <w:szCs w:val="22"/>
              </w:rPr>
            </w:pPr>
            <w:r>
              <w:rPr>
                <w:rFonts w:hint="eastAsia"/>
                <w:bCs/>
                <w:sz w:val="20"/>
                <w:szCs w:val="22"/>
              </w:rPr>
              <w:t>关键过程为：物业服务</w:t>
            </w:r>
          </w:p>
          <w:p>
            <w:pPr>
              <w:snapToGrid w:val="0"/>
              <w:spacing w:line="280" w:lineRule="exact"/>
              <w:jc w:val="left"/>
              <w:rPr>
                <w:bCs/>
                <w:sz w:val="20"/>
                <w:szCs w:val="22"/>
              </w:rPr>
            </w:pPr>
            <w:r>
              <w:rPr>
                <w:rFonts w:hint="eastAsia"/>
                <w:bCs/>
                <w:sz w:val="20"/>
                <w:szCs w:val="22"/>
              </w:rPr>
              <w:t>特殊过程为：物业服务</w:t>
            </w:r>
          </w:p>
          <w:p>
            <w:pPr>
              <w:snapToGrid w:val="0"/>
              <w:spacing w:line="280" w:lineRule="exact"/>
              <w:jc w:val="left"/>
              <w:rPr>
                <w:bCs/>
                <w:sz w:val="20"/>
                <w:szCs w:val="22"/>
              </w:rPr>
            </w:pPr>
            <w:r>
              <w:rPr>
                <w:rFonts w:hint="eastAsia"/>
                <w:bCs/>
                <w:sz w:val="20"/>
                <w:szCs w:val="22"/>
              </w:rPr>
              <w:t>销售主要质量指标：熟悉行业规范、具备执业素养、具有亲和力与良好的沟通能</w:t>
            </w:r>
          </w:p>
          <w:p>
            <w:pPr>
              <w:snapToGrid w:val="0"/>
              <w:spacing w:line="280" w:lineRule="exact"/>
              <w:jc w:val="left"/>
              <w:rPr>
                <w:bCs/>
                <w:sz w:val="20"/>
                <w:szCs w:val="22"/>
              </w:rPr>
            </w:pPr>
            <w:r>
              <w:rPr>
                <w:rFonts w:hint="eastAsia"/>
                <w:bCs/>
                <w:sz w:val="20"/>
                <w:szCs w:val="22"/>
              </w:rPr>
              <w:t>力，了解顾客对公司的需求情况及顾客明示或隐含的要求</w:t>
            </w:r>
          </w:p>
          <w:p>
            <w:pPr>
              <w:snapToGrid w:val="0"/>
              <w:spacing w:line="280" w:lineRule="exact"/>
              <w:jc w:val="left"/>
              <w:rPr>
                <w:bCs/>
                <w:sz w:val="20"/>
                <w:szCs w:val="22"/>
              </w:rPr>
            </w:pPr>
            <w:r>
              <w:rPr>
                <w:rFonts w:hint="eastAsia"/>
                <w:bCs/>
                <w:sz w:val="20"/>
                <w:szCs w:val="22"/>
              </w:rPr>
              <w:t>熟悉关键原材料进厂检验、产品特性及客户的要求</w:t>
            </w:r>
          </w:p>
          <w:p>
            <w:pPr>
              <w:snapToGrid w:val="0"/>
              <w:spacing w:line="280" w:lineRule="exact"/>
              <w:jc w:val="left"/>
              <w:rPr>
                <w:bCs/>
                <w:sz w:val="20"/>
                <w:szCs w:val="22"/>
              </w:rPr>
            </w:pPr>
            <w:r>
              <w:rPr>
                <w:rFonts w:hint="eastAsia"/>
                <w:bCs/>
                <w:sz w:val="20"/>
                <w:szCs w:val="22"/>
              </w:rPr>
              <w:t>根据客户要求制定销售计划</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spacing w:line="394" w:lineRule="exact"/>
              <w:ind w:firstLine="420" w:firstLineChars="200"/>
              <w:rPr>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物业管理服务</w:t>
            </w:r>
            <w:r>
              <w:rPr>
                <w:rFonts w:hint="eastAsia"/>
                <w:sz w:val="21"/>
                <w:szCs w:val="21"/>
              </w:rPr>
              <w:t>过程，用打分法考虑了法规符合性、发生频次、影响范围等, 通过定性判断法，共识别出重大环境因素2项：固废排放、火灾，评价符合程序要求及公司的实际情况。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ind w:firstLine="420" w:firstLineChars="20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通过是非法，共识别出不可接受风险3项，涉及：火灾、触电、意外伤害。评价符合程序要求及公司的实际情况。对危险源的控制措施包括制定管理制度、监督检查、应急预案、培训等。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物业管理条例</w:t>
            </w:r>
            <w:r>
              <w:rPr>
                <w:rFonts w:hint="eastAsia" w:asciiTheme="minorEastAsia" w:hAnsiTheme="minorEastAsia" w:eastAsiaTheme="minorEastAsia"/>
                <w:szCs w:val="21"/>
              </w:rPr>
              <w:tab/>
            </w:r>
            <w:r>
              <w:rPr>
                <w:rFonts w:hint="eastAsia" w:asciiTheme="minorEastAsia" w:hAnsiTheme="minorEastAsia" w:eastAsiaTheme="minorEastAsia"/>
                <w:szCs w:val="21"/>
              </w:rPr>
              <w:t>2007.10.1</w:t>
            </w:r>
            <w:r>
              <w:rPr>
                <w:rFonts w:hint="eastAsia" w:asciiTheme="minorEastAsia" w:hAnsiTheme="minorEastAsia" w:eastAsiaTheme="minorEastAsia"/>
                <w:szCs w:val="21"/>
              </w:rPr>
              <w:tab/>
            </w:r>
            <w:r>
              <w:rPr>
                <w:rFonts w:hint="eastAsia" w:asciiTheme="minorEastAsia" w:hAnsiTheme="minorEastAsia" w:eastAsiaTheme="minorEastAsia"/>
                <w:szCs w:val="21"/>
              </w:rPr>
              <w:t>中华人民共和国国务院</w:t>
            </w:r>
          </w:p>
          <w:p>
            <w:pPr>
              <w:pStyle w:val="12"/>
              <w:rPr>
                <w:rFonts w:ascii="宋体"/>
                <w:bCs w:val="0"/>
                <w:color w:val="000000"/>
                <w:spacing w:val="0"/>
                <w:sz w:val="20"/>
              </w:rPr>
            </w:pPr>
            <w:r>
              <w:rPr>
                <w:rFonts w:hint="eastAsia" w:ascii="宋体"/>
                <w:bCs w:val="0"/>
                <w:color w:val="000000"/>
                <w:spacing w:val="0"/>
                <w:sz w:val="20"/>
              </w:rPr>
              <w:t>清洁服务.质量度量系统的基本要求和推荐方法 EN 13549-2001</w:t>
            </w:r>
          </w:p>
          <w:p>
            <w:pPr>
              <w:pStyle w:val="12"/>
              <w:rPr>
                <w:rFonts w:ascii="宋体"/>
                <w:bCs w:val="0"/>
                <w:color w:val="000000"/>
                <w:spacing w:val="0"/>
                <w:sz w:val="20"/>
              </w:rPr>
            </w:pPr>
            <w:r>
              <w:rPr>
                <w:rFonts w:hint="eastAsia" w:ascii="宋体"/>
                <w:bCs w:val="0"/>
                <w:color w:val="000000"/>
                <w:spacing w:val="0"/>
                <w:sz w:val="20"/>
              </w:rPr>
              <w:t>城市道路清扫保洁质量与评价标准</w:t>
            </w:r>
            <w:r>
              <w:rPr>
                <w:rFonts w:hint="eastAsia" w:ascii="宋体"/>
                <w:bCs w:val="0"/>
                <w:color w:val="000000"/>
                <w:spacing w:val="0"/>
                <w:sz w:val="20"/>
              </w:rPr>
              <w:tab/>
            </w:r>
            <w:r>
              <w:rPr>
                <w:rFonts w:hint="eastAsia" w:ascii="宋体"/>
                <w:bCs w:val="0"/>
                <w:color w:val="000000"/>
                <w:spacing w:val="0"/>
                <w:sz w:val="20"/>
              </w:rPr>
              <w:t>CJJ/T 126-2008</w:t>
            </w:r>
            <w:r>
              <w:rPr>
                <w:rFonts w:hint="eastAsia" w:ascii="宋体"/>
                <w:bCs w:val="0"/>
                <w:color w:val="000000"/>
                <w:spacing w:val="0"/>
                <w:sz w:val="20"/>
              </w:rPr>
              <w:tab/>
            </w:r>
            <w:r>
              <w:rPr>
                <w:rFonts w:hint="eastAsia" w:ascii="宋体"/>
                <w:bCs w:val="0"/>
                <w:color w:val="000000"/>
                <w:spacing w:val="0"/>
                <w:sz w:val="20"/>
              </w:rPr>
              <w:t>2009.5.1</w:t>
            </w:r>
          </w:p>
          <w:p>
            <w:pPr>
              <w:pStyle w:val="12"/>
              <w:rPr>
                <w:rFonts w:ascii="宋体"/>
                <w:bCs w:val="0"/>
                <w:color w:val="000000"/>
                <w:spacing w:val="0"/>
                <w:sz w:val="20"/>
              </w:rPr>
            </w:pPr>
            <w:r>
              <w:rPr>
                <w:rFonts w:hint="eastAsia" w:ascii="宋体"/>
                <w:bCs w:val="0"/>
                <w:color w:val="000000"/>
                <w:spacing w:val="0"/>
                <w:sz w:val="20"/>
              </w:rPr>
              <w:t>城市道路清扫保洁质量与作业要求</w:t>
            </w:r>
            <w:r>
              <w:rPr>
                <w:rFonts w:hint="eastAsia" w:ascii="宋体"/>
                <w:bCs w:val="0"/>
                <w:color w:val="000000"/>
                <w:spacing w:val="0"/>
                <w:sz w:val="20"/>
              </w:rPr>
              <w:tab/>
            </w:r>
            <w:r>
              <w:rPr>
                <w:rFonts w:hint="eastAsia" w:ascii="宋体"/>
                <w:bCs w:val="0"/>
                <w:color w:val="000000"/>
                <w:spacing w:val="0"/>
                <w:sz w:val="20"/>
              </w:rPr>
              <w:t>DB11/T 353-2014</w:t>
            </w:r>
            <w:r>
              <w:rPr>
                <w:rFonts w:hint="eastAsia" w:ascii="宋体"/>
                <w:bCs w:val="0"/>
                <w:color w:val="000000"/>
                <w:spacing w:val="0"/>
                <w:sz w:val="20"/>
              </w:rPr>
              <w:tab/>
            </w:r>
            <w:r>
              <w:rPr>
                <w:rFonts w:hint="eastAsia" w:ascii="宋体"/>
                <w:bCs w:val="0"/>
                <w:color w:val="000000"/>
                <w:spacing w:val="0"/>
                <w:sz w:val="20"/>
              </w:rPr>
              <w:t>2015-04-01</w:t>
            </w:r>
          </w:p>
          <w:p>
            <w:pPr>
              <w:pStyle w:val="12"/>
              <w:rPr>
                <w:rFonts w:ascii="宋体"/>
                <w:bCs w:val="0"/>
                <w:color w:val="000000"/>
                <w:spacing w:val="0"/>
                <w:sz w:val="20"/>
              </w:rPr>
            </w:pPr>
            <w:r>
              <w:rPr>
                <w:rFonts w:hint="eastAsia" w:ascii="宋体"/>
                <w:bCs w:val="0"/>
                <w:color w:val="000000"/>
                <w:spacing w:val="0"/>
                <w:sz w:val="20"/>
              </w:rPr>
              <w:t>城市生活垃圾管理办法</w:t>
            </w:r>
            <w:r>
              <w:rPr>
                <w:rFonts w:hint="eastAsia" w:ascii="宋体"/>
                <w:bCs w:val="0"/>
                <w:color w:val="000000"/>
                <w:spacing w:val="0"/>
                <w:sz w:val="20"/>
              </w:rPr>
              <w:tab/>
            </w:r>
            <w:r>
              <w:rPr>
                <w:rFonts w:hint="eastAsia" w:ascii="宋体"/>
                <w:bCs w:val="0"/>
                <w:color w:val="000000"/>
                <w:spacing w:val="0"/>
                <w:sz w:val="20"/>
              </w:rPr>
              <w:t>建设部</w:t>
            </w:r>
            <w:r>
              <w:rPr>
                <w:rFonts w:hint="eastAsia" w:ascii="宋体"/>
                <w:bCs w:val="0"/>
                <w:color w:val="000000"/>
                <w:spacing w:val="0"/>
                <w:sz w:val="20"/>
              </w:rPr>
              <w:tab/>
            </w:r>
            <w:r>
              <w:rPr>
                <w:rFonts w:hint="eastAsia" w:ascii="宋体"/>
                <w:bCs w:val="0"/>
                <w:color w:val="000000"/>
                <w:spacing w:val="0"/>
                <w:sz w:val="20"/>
              </w:rPr>
              <w:t>2015.5.4</w:t>
            </w:r>
          </w:p>
          <w:p>
            <w:pPr>
              <w:pStyle w:val="12"/>
            </w:pPr>
            <w:r>
              <w:rPr>
                <w:rFonts w:hint="eastAsia" w:ascii="宋体"/>
                <w:bCs w:val="0"/>
                <w:color w:val="000000"/>
                <w:spacing w:val="0"/>
                <w:sz w:val="20"/>
              </w:rPr>
              <w:t>清洁行业经营服务规范SB/T 10595-2011</w:t>
            </w:r>
          </w:p>
          <w:p>
            <w:pPr>
              <w:pStyle w:val="12"/>
            </w:pPr>
            <w:r>
              <w:t>建筑及居住区数字化技术应用 第3部分：物业管理</w:t>
            </w:r>
            <w:r>
              <w:tab/>
            </w:r>
            <w:r>
              <w:t>GB/T 20299.3-2006</w:t>
            </w:r>
          </w:p>
          <w:p>
            <w:pPr>
              <w:pStyle w:val="12"/>
            </w:pPr>
            <w:r>
              <w:t>社区服务指南 第9部分：物业服务</w:t>
            </w:r>
            <w:r>
              <w:tab/>
            </w:r>
            <w:r>
              <w:t>GB/T 20647.9-2006</w:t>
            </w:r>
          </w:p>
          <w:p>
            <w:pPr>
              <w:pStyle w:val="12"/>
              <w:rPr>
                <w:rFonts w:ascii="宋体"/>
                <w:bCs w:val="0"/>
                <w:color w:val="000000"/>
                <w:spacing w:val="0"/>
                <w:sz w:val="20"/>
              </w:rPr>
            </w:pPr>
            <w:r>
              <w:rPr>
                <w:rFonts w:hint="eastAsia" w:ascii="宋体"/>
                <w:bCs w:val="0"/>
                <w:color w:val="000000"/>
                <w:spacing w:val="0"/>
                <w:sz w:val="20"/>
              </w:rPr>
              <w:t>中华人民共和国森林法》</w:t>
            </w:r>
            <w:r>
              <w:rPr>
                <w:rFonts w:hint="eastAsia" w:ascii="宋体"/>
                <w:bCs w:val="0"/>
                <w:color w:val="000000"/>
                <w:spacing w:val="0"/>
                <w:sz w:val="20"/>
              </w:rPr>
              <w:tab/>
            </w:r>
            <w:r>
              <w:rPr>
                <w:rFonts w:hint="eastAsia" w:ascii="宋体"/>
                <w:bCs w:val="0"/>
                <w:color w:val="000000"/>
                <w:spacing w:val="0"/>
                <w:sz w:val="20"/>
              </w:rPr>
              <w:t>第九届全国人民代表大会常务委员会第二次会议</w:t>
            </w:r>
            <w:r>
              <w:rPr>
                <w:rFonts w:hint="eastAsia" w:ascii="宋体"/>
                <w:bCs w:val="0"/>
                <w:color w:val="000000"/>
                <w:spacing w:val="0"/>
                <w:sz w:val="20"/>
              </w:rPr>
              <w:tab/>
            </w:r>
            <w:r>
              <w:rPr>
                <w:rFonts w:hint="eastAsia" w:ascii="宋体"/>
                <w:bCs w:val="0"/>
                <w:color w:val="000000"/>
                <w:spacing w:val="0"/>
                <w:sz w:val="20"/>
              </w:rPr>
              <w:t>1998.4.29</w:t>
            </w:r>
          </w:p>
          <w:p>
            <w:pPr>
              <w:pStyle w:val="12"/>
              <w:rPr>
                <w:rFonts w:ascii="宋体"/>
                <w:bCs w:val="0"/>
                <w:color w:val="000000"/>
                <w:spacing w:val="0"/>
                <w:sz w:val="20"/>
              </w:rPr>
            </w:pPr>
            <w:r>
              <w:rPr>
                <w:rFonts w:hint="eastAsia" w:ascii="宋体"/>
                <w:bCs w:val="0"/>
                <w:color w:val="000000"/>
                <w:spacing w:val="0"/>
                <w:sz w:val="20"/>
              </w:rPr>
              <w:t>《中华人民共和国环境保护法（试行）》</w:t>
            </w:r>
            <w:r>
              <w:rPr>
                <w:rFonts w:hint="eastAsia" w:ascii="宋体"/>
                <w:bCs w:val="0"/>
                <w:color w:val="000000"/>
                <w:spacing w:val="0"/>
                <w:sz w:val="20"/>
              </w:rPr>
              <w:tab/>
            </w:r>
            <w:r>
              <w:rPr>
                <w:rFonts w:hint="eastAsia" w:ascii="宋体"/>
                <w:bCs w:val="0"/>
                <w:color w:val="000000"/>
                <w:spacing w:val="0"/>
                <w:sz w:val="20"/>
              </w:rPr>
              <w:t>第五届全国人民代表大会常务委员会第十一次会议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1979.9.13</w:t>
            </w:r>
          </w:p>
          <w:p>
            <w:pPr>
              <w:pStyle w:val="12"/>
              <w:rPr>
                <w:rFonts w:ascii="宋体"/>
                <w:bCs w:val="0"/>
                <w:color w:val="000000"/>
                <w:spacing w:val="0"/>
                <w:sz w:val="20"/>
              </w:rPr>
            </w:pPr>
            <w:r>
              <w:rPr>
                <w:rFonts w:hint="eastAsia" w:ascii="宋体"/>
                <w:bCs w:val="0"/>
                <w:color w:val="000000"/>
                <w:spacing w:val="0"/>
                <w:sz w:val="20"/>
              </w:rPr>
              <w:t>《中华人民共和国城乡规划法》</w:t>
            </w:r>
            <w:r>
              <w:rPr>
                <w:rFonts w:hint="eastAsia" w:ascii="宋体"/>
                <w:bCs w:val="0"/>
                <w:color w:val="000000"/>
                <w:spacing w:val="0"/>
                <w:sz w:val="20"/>
              </w:rPr>
              <w:tab/>
            </w:r>
            <w:r>
              <w:rPr>
                <w:rFonts w:hint="eastAsia" w:ascii="宋体"/>
                <w:bCs w:val="0"/>
                <w:color w:val="000000"/>
                <w:spacing w:val="0"/>
                <w:sz w:val="20"/>
              </w:rPr>
              <w:t>第十届全国人民代表大会常务委员会第三十次会</w:t>
            </w:r>
            <w:r>
              <w:rPr>
                <w:rFonts w:hint="eastAsia" w:ascii="宋体"/>
                <w:bCs w:val="0"/>
                <w:color w:val="000000"/>
                <w:spacing w:val="0"/>
                <w:sz w:val="20"/>
              </w:rPr>
              <w:tab/>
            </w:r>
            <w:r>
              <w:rPr>
                <w:rFonts w:hint="eastAsia" w:ascii="宋体"/>
                <w:bCs w:val="0"/>
                <w:color w:val="000000"/>
                <w:spacing w:val="0"/>
                <w:sz w:val="20"/>
              </w:rPr>
              <w:t>2008.1.1</w:t>
            </w:r>
          </w:p>
          <w:p>
            <w:pPr>
              <w:pStyle w:val="12"/>
              <w:rPr>
                <w:rFonts w:ascii="宋体"/>
                <w:bCs w:val="0"/>
                <w:color w:val="000000"/>
                <w:spacing w:val="0"/>
                <w:sz w:val="20"/>
              </w:rPr>
            </w:pPr>
            <w:r>
              <w:rPr>
                <w:rFonts w:hint="eastAsia" w:ascii="宋体"/>
                <w:bCs w:val="0"/>
                <w:color w:val="000000"/>
                <w:spacing w:val="0"/>
                <w:sz w:val="20"/>
              </w:rPr>
              <w:t>中华人民共和国劳动合同法</w:t>
            </w:r>
            <w:r>
              <w:rPr>
                <w:rFonts w:hint="eastAsia" w:ascii="宋体"/>
                <w:bCs w:val="0"/>
                <w:color w:val="000000"/>
                <w:spacing w:val="0"/>
                <w:sz w:val="20"/>
              </w:rPr>
              <w:tab/>
            </w:r>
            <w:r>
              <w:rPr>
                <w:rFonts w:hint="eastAsia" w:ascii="宋体"/>
                <w:bCs w:val="0"/>
                <w:color w:val="000000"/>
                <w:spacing w:val="0"/>
                <w:sz w:val="20"/>
              </w:rPr>
              <w:t>全国人大</w:t>
            </w:r>
            <w:r>
              <w:rPr>
                <w:rFonts w:hint="eastAsia" w:ascii="宋体"/>
                <w:bCs w:val="0"/>
                <w:color w:val="000000"/>
                <w:spacing w:val="0"/>
                <w:sz w:val="20"/>
              </w:rPr>
              <w:tab/>
            </w:r>
            <w:r>
              <w:rPr>
                <w:rFonts w:hint="eastAsia" w:ascii="宋体"/>
                <w:bCs w:val="0"/>
                <w:color w:val="000000"/>
                <w:spacing w:val="0"/>
                <w:sz w:val="20"/>
              </w:rPr>
              <w:t>2013/7/1</w:t>
            </w:r>
          </w:p>
          <w:p>
            <w:pPr>
              <w:pStyle w:val="12"/>
              <w:rPr>
                <w:rFonts w:ascii="宋体"/>
                <w:bCs w:val="0"/>
                <w:color w:val="000000"/>
                <w:spacing w:val="0"/>
                <w:sz w:val="20"/>
              </w:rPr>
            </w:pPr>
            <w:r>
              <w:rPr>
                <w:rFonts w:hint="eastAsia" w:ascii="宋体"/>
                <w:bCs w:val="0"/>
                <w:color w:val="000000"/>
                <w:spacing w:val="0"/>
                <w:sz w:val="20"/>
              </w:rPr>
              <w:t>《中华人民共和国招标投标法》</w:t>
            </w:r>
            <w:r>
              <w:rPr>
                <w:rFonts w:hint="eastAsia" w:ascii="宋体"/>
                <w:bCs w:val="0"/>
                <w:color w:val="000000"/>
                <w:spacing w:val="0"/>
                <w:sz w:val="20"/>
              </w:rPr>
              <w:tab/>
            </w:r>
            <w:r>
              <w:rPr>
                <w:rFonts w:hint="eastAsia" w:ascii="宋体"/>
                <w:bCs w:val="0"/>
                <w:color w:val="000000"/>
                <w:spacing w:val="0"/>
                <w:sz w:val="20"/>
              </w:rPr>
              <w:t>第九届全国人民代表大会常务委员会第十一次会议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1999.8.30</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城市绿地设计规范</w:t>
            </w:r>
            <w:r>
              <w:rPr>
                <w:rFonts w:hint="eastAsia" w:ascii="宋体"/>
                <w:bCs w:val="0"/>
                <w:color w:val="000000"/>
                <w:spacing w:val="0"/>
                <w:sz w:val="20"/>
              </w:rPr>
              <w:tab/>
            </w:r>
            <w:r>
              <w:rPr>
                <w:rFonts w:hint="eastAsia" w:ascii="宋体"/>
                <w:bCs w:val="0"/>
                <w:color w:val="000000"/>
                <w:spacing w:val="0"/>
                <w:sz w:val="20"/>
              </w:rPr>
              <w:t>GB 50420-2007</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城市园林苗圃育苗技术规程</w:t>
            </w:r>
            <w:r>
              <w:rPr>
                <w:rFonts w:hint="eastAsia" w:ascii="宋体"/>
                <w:bCs w:val="0"/>
                <w:color w:val="000000"/>
                <w:spacing w:val="0"/>
                <w:sz w:val="20"/>
              </w:rPr>
              <w:tab/>
            </w:r>
            <w:r>
              <w:rPr>
                <w:rFonts w:hint="eastAsia" w:ascii="宋体"/>
                <w:bCs w:val="0"/>
                <w:color w:val="000000"/>
                <w:spacing w:val="0"/>
                <w:sz w:val="20"/>
              </w:rPr>
              <w:t>CJT23-1999</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城市绿化工程施工及验收规范</w:t>
            </w:r>
            <w:r>
              <w:rPr>
                <w:rFonts w:hint="eastAsia" w:ascii="宋体"/>
                <w:bCs w:val="0"/>
                <w:color w:val="000000"/>
                <w:spacing w:val="0"/>
                <w:sz w:val="20"/>
              </w:rPr>
              <w:tab/>
            </w:r>
            <w:r>
              <w:rPr>
                <w:rFonts w:hint="eastAsia" w:ascii="宋体"/>
                <w:bCs w:val="0"/>
                <w:color w:val="000000"/>
                <w:spacing w:val="0"/>
                <w:sz w:val="20"/>
              </w:rPr>
              <w:t>建标【1999】46号</w:t>
            </w:r>
            <w:r>
              <w:rPr>
                <w:rFonts w:hint="eastAsia" w:ascii="宋体"/>
                <w:bCs w:val="0"/>
                <w:color w:val="000000"/>
                <w:spacing w:val="0"/>
                <w:sz w:val="20"/>
              </w:rPr>
              <w:tab/>
            </w:r>
            <w:r>
              <w:rPr>
                <w:rFonts w:hint="eastAsia" w:ascii="宋体"/>
                <w:bCs w:val="0"/>
                <w:color w:val="000000"/>
                <w:spacing w:val="0"/>
                <w:sz w:val="20"/>
              </w:rPr>
              <w:t>1999.2.24</w:t>
            </w:r>
          </w:p>
          <w:p>
            <w:pPr>
              <w:pStyle w:val="12"/>
              <w:rPr>
                <w:rFonts w:ascii="宋体"/>
                <w:bCs w:val="0"/>
                <w:color w:val="000000"/>
                <w:spacing w:val="0"/>
                <w:sz w:val="20"/>
              </w:rPr>
            </w:pPr>
            <w:r>
              <w:rPr>
                <w:rFonts w:hint="eastAsia" w:ascii="宋体"/>
                <w:bCs w:val="0"/>
                <w:color w:val="000000"/>
                <w:spacing w:val="0"/>
                <w:sz w:val="20"/>
              </w:rPr>
              <w:t>关于加强城市绿地和绿化种植保护的规定</w:t>
            </w:r>
            <w:r>
              <w:rPr>
                <w:rFonts w:hint="eastAsia" w:ascii="宋体"/>
                <w:bCs w:val="0"/>
                <w:color w:val="000000"/>
                <w:spacing w:val="0"/>
                <w:sz w:val="20"/>
              </w:rPr>
              <w:tab/>
            </w:r>
            <w:r>
              <w:rPr>
                <w:rFonts w:hint="eastAsia" w:ascii="宋体"/>
                <w:bCs w:val="0"/>
                <w:color w:val="000000"/>
                <w:spacing w:val="0"/>
                <w:sz w:val="20"/>
              </w:rPr>
              <w:t>建城【1994】716号</w:t>
            </w:r>
            <w:r>
              <w:rPr>
                <w:rFonts w:hint="eastAsia" w:ascii="宋体"/>
                <w:bCs w:val="0"/>
                <w:color w:val="000000"/>
                <w:spacing w:val="0"/>
                <w:sz w:val="20"/>
              </w:rPr>
              <w:tab/>
            </w:r>
            <w:r>
              <w:rPr>
                <w:rFonts w:hint="eastAsia" w:ascii="宋体"/>
                <w:bCs w:val="0"/>
                <w:color w:val="000000"/>
                <w:spacing w:val="0"/>
                <w:sz w:val="20"/>
              </w:rPr>
              <w:t>2003.8.9</w:t>
            </w:r>
          </w:p>
          <w:p>
            <w:pPr>
              <w:pStyle w:val="12"/>
              <w:rPr>
                <w:b/>
                <w:sz w:val="20"/>
              </w:rPr>
            </w:pPr>
            <w:r>
              <w:rPr>
                <w:rFonts w:hint="eastAsia" w:ascii="宋体"/>
                <w:bCs w:val="0"/>
                <w:color w:val="000000"/>
                <w:spacing w:val="0"/>
                <w:sz w:val="20"/>
              </w:rPr>
              <w:t>国务院关于加强城市绿化建设的通知</w:t>
            </w:r>
            <w:r>
              <w:rPr>
                <w:rFonts w:hint="eastAsia" w:ascii="宋体"/>
                <w:bCs w:val="0"/>
                <w:color w:val="000000"/>
                <w:spacing w:val="0"/>
                <w:sz w:val="20"/>
              </w:rPr>
              <w:tab/>
            </w:r>
            <w:r>
              <w:rPr>
                <w:rFonts w:hint="eastAsia" w:ascii="宋体"/>
                <w:bCs w:val="0"/>
                <w:color w:val="000000"/>
                <w:spacing w:val="0"/>
                <w:sz w:val="20"/>
              </w:rPr>
              <w:t>国发【2001】20号</w:t>
            </w:r>
            <w:r>
              <w:rPr>
                <w:rFonts w:hint="eastAsia" w:ascii="宋体"/>
                <w:bCs w:val="0"/>
                <w:color w:val="000000"/>
                <w:spacing w:val="0"/>
                <w:sz w:val="20"/>
              </w:rPr>
              <w:tab/>
            </w:r>
            <w:r>
              <w:rPr>
                <w:rFonts w:hint="eastAsia" w:ascii="宋体"/>
                <w:bCs w:val="0"/>
                <w:color w:val="000000"/>
                <w:spacing w:val="0"/>
                <w:sz w:val="20"/>
              </w:rPr>
              <w:t>2001.5.21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pPr>
              <w:snapToGrid w:val="0"/>
              <w:spacing w:line="280" w:lineRule="exact"/>
              <w:jc w:val="center"/>
              <w:rPr>
                <w:b/>
                <w:sz w:val="20"/>
              </w:rPr>
            </w:pPr>
            <w:r>
              <w:rPr>
                <w:rFonts w:hint="eastAsia"/>
                <w:b/>
                <w:sz w:val="2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8" w:space="0"/>
            </w:tcBorders>
            <w:vAlign w:val="center"/>
          </w:tcPr>
          <w:p>
            <w:pPr>
              <w:snapToGrid w:val="0"/>
              <w:spacing w:line="280" w:lineRule="exact"/>
              <w:jc w:val="center"/>
              <w:rPr>
                <w:b/>
                <w:sz w:val="20"/>
              </w:rPr>
            </w:pPr>
            <w:r>
              <w:rPr>
                <w:rFonts w:hint="eastAsia"/>
                <w:b/>
                <w:sz w:val="20"/>
              </w:rPr>
              <w:t>无</w:t>
            </w:r>
          </w:p>
        </w:tc>
      </w:tr>
    </w:tbl>
    <w:p>
      <w:pPr>
        <w:snapToGrid w:val="0"/>
        <w:rPr>
          <w:rFonts w:ascii="宋体"/>
          <w:b/>
          <w:sz w:val="22"/>
          <w:szCs w:val="22"/>
        </w:rPr>
      </w:pP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李京田          </w:t>
      </w:r>
      <w:r>
        <w:rPr>
          <w:rFonts w:hint="eastAsia"/>
          <w:b/>
          <w:sz w:val="22"/>
          <w:szCs w:val="22"/>
        </w:rPr>
        <w:t>日期</w:t>
      </w:r>
      <w:r>
        <w:rPr>
          <w:rFonts w:hint="eastAsia"/>
          <w:b/>
          <w:sz w:val="18"/>
          <w:szCs w:val="18"/>
        </w:rPr>
        <w:t>：   20</w:t>
      </w:r>
      <w:r>
        <w:rPr>
          <w:rFonts w:hint="eastAsia"/>
          <w:b/>
          <w:sz w:val="18"/>
          <w:szCs w:val="18"/>
          <w:lang w:val="en-US" w:eastAsia="zh-CN"/>
        </w:rPr>
        <w:t>21.7.25</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：李京田          </w:t>
      </w:r>
      <w:r>
        <w:rPr>
          <w:rFonts w:hint="eastAsia"/>
          <w:b/>
          <w:sz w:val="22"/>
          <w:szCs w:val="22"/>
        </w:rPr>
        <w:t>日期</w:t>
      </w:r>
      <w:r>
        <w:rPr>
          <w:rFonts w:hint="eastAsia"/>
          <w:b/>
          <w:sz w:val="18"/>
          <w:szCs w:val="18"/>
        </w:rPr>
        <w:t xml:space="preserve">：  </w:t>
      </w:r>
      <w:r>
        <w:rPr>
          <w:rFonts w:hint="eastAsia"/>
          <w:b/>
          <w:sz w:val="18"/>
          <w:szCs w:val="18"/>
          <w:lang w:val="en-US" w:eastAsia="zh-CN"/>
        </w:rPr>
        <w:t>2021.7.25</w:t>
      </w:r>
      <w:bookmarkStart w:id="6" w:name="_GoBack"/>
      <w:bookmarkEnd w:id="6"/>
      <w:r>
        <w:rPr>
          <w:rFonts w:hint="eastAsia" w:ascii="宋体"/>
          <w:b/>
          <w:sz w:val="18"/>
          <w:szCs w:val="18"/>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25.25pt;margin-top:2.2pt;height:20.2pt;width:159.25pt;z-index:251660288;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A2605"/>
    <w:rsid w:val="002851B7"/>
    <w:rsid w:val="00336446"/>
    <w:rsid w:val="003C7D5F"/>
    <w:rsid w:val="003F42FD"/>
    <w:rsid w:val="00432CFD"/>
    <w:rsid w:val="0048682C"/>
    <w:rsid w:val="006A2605"/>
    <w:rsid w:val="00727C84"/>
    <w:rsid w:val="008B5074"/>
    <w:rsid w:val="008F27C0"/>
    <w:rsid w:val="009E0E00"/>
    <w:rsid w:val="00AD027B"/>
    <w:rsid w:val="00D23C2F"/>
    <w:rsid w:val="00D31AF3"/>
    <w:rsid w:val="00E75B2D"/>
    <w:rsid w:val="00F22A2F"/>
    <w:rsid w:val="29DF1EFB"/>
    <w:rsid w:val="29E67608"/>
    <w:rsid w:val="5C28720A"/>
    <w:rsid w:val="7A054FBB"/>
    <w:rsid w:val="7C0435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rPr>
  </w:style>
  <w:style w:type="character" w:customStyle="1" w:styleId="8">
    <w:name w:val="页脚 字符"/>
    <w:link w:val="3"/>
    <w:qFormat/>
    <w:locked/>
    <w:uiPriority w:val="99"/>
    <w:rPr>
      <w:rFonts w:ascii="Times New Roman" w:hAnsi="Times New Roman" w:eastAsia="宋体" w:cs="Times New Roman"/>
      <w:sz w:val="18"/>
      <w:szCs w:val="18"/>
    </w:rPr>
  </w:style>
  <w:style w:type="character" w:customStyle="1" w:styleId="9">
    <w:name w:val="页眉 字符"/>
    <w:link w:val="4"/>
    <w:qFormat/>
    <w:locked/>
    <w:uiPriority w:val="99"/>
    <w:rPr>
      <w:rFonts w:ascii="Times New Roman" w:hAnsi="Times New Roman" w:eastAsia="宋体" w:cs="Times New Roman"/>
      <w:sz w:val="18"/>
      <w:szCs w:val="18"/>
    </w:rPr>
  </w:style>
  <w:style w:type="character" w:customStyle="1" w:styleId="10">
    <w:name w:val="批注框文本 字符"/>
    <w:link w:val="2"/>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262</Words>
  <Characters>1496</Characters>
  <Lines>12</Lines>
  <Paragraphs>3</Paragraphs>
  <TotalTime>0</TotalTime>
  <ScaleCrop>false</ScaleCrop>
  <LinksUpToDate>false</LinksUpToDate>
  <CharactersWithSpaces>1755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2021-07-25T01:25:55Z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11DE8EE7F5E743CD8003CBB388311F11</vt:lpwstr>
  </property>
</Properties>
</file>