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河北西环融合汽车服务有限公司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0740-2021-E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许立伟</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ISC-JSZJ-128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4" w:name="_GoBack"/>
            <w:bookmarkEnd w:id="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D83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2021-07-19T01:03:39Z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160C657789AA4AD3AC8E6852E1DA957D</vt:lpwstr>
  </property>
</Properties>
</file>