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贵州林鑫物流有限公司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ISC-JSZJ-342</w:t>
            </w:r>
          </w:p>
          <w:p>
            <w:pPr>
              <w:jc w:val="center"/>
              <w:rPr>
                <w:b/>
                <w:sz w:val="21"/>
                <w:szCs w:val="21"/>
              </w:rPr>
            </w:pPr>
            <w:r>
              <w:rPr>
                <w:b/>
                <w:sz w:val="21"/>
                <w:szCs w:val="21"/>
              </w:rPr>
              <w:t>贵州中泓物流有限公司</w:t>
            </w:r>
          </w:p>
        </w:tc>
        <w:tc>
          <w:tcPr>
            <w:tcW w:w="1728" w:type="dxa"/>
            <w:gridSpan w:val="2"/>
            <w:vAlign w:val="center"/>
          </w:tcPr>
          <w:p>
            <w:pPr>
              <w:jc w:val="center"/>
              <w:rPr>
                <w:b/>
                <w:sz w:val="21"/>
                <w:szCs w:val="21"/>
              </w:rPr>
            </w:pPr>
            <w:r>
              <w:rPr>
                <w:b/>
                <w:sz w:val="21"/>
                <w:szCs w:val="21"/>
              </w:rPr>
              <w:t>31.04.01,31.04.02,31.13.04</w:t>
            </w:r>
          </w:p>
        </w:tc>
        <w:tc>
          <w:tcPr>
            <w:tcW w:w="1729" w:type="dxa"/>
            <w:gridSpan w:val="2"/>
            <w:vAlign w:val="center"/>
          </w:tcPr>
          <w:p>
            <w:pPr>
              <w:jc w:val="center"/>
              <w:rPr>
                <w:b/>
                <w:sz w:val="21"/>
                <w:szCs w:val="21"/>
              </w:rPr>
            </w:pPr>
            <w:r>
              <w:rPr>
                <w:b/>
                <w:sz w:val="21"/>
                <w:szCs w:val="21"/>
              </w:rPr>
              <w:t>ISC-JSZJ-342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u w:val="single"/>
          <w:lang w:val="en-US" w:eastAsia="zh-CN"/>
        </w:rPr>
      </w:pPr>
      <w:r>
        <w:rPr>
          <w:rFonts w:hint="eastAsia"/>
          <w:b/>
          <w:sz w:val="21"/>
          <w:szCs w:val="21"/>
        </w:rPr>
        <w:sym w:font="Wingdings 2" w:char="00A3"/>
      </w:r>
      <w:r>
        <w:rPr>
          <w:rFonts w:hint="eastAsia"/>
          <w:b/>
          <w:sz w:val="21"/>
          <w:szCs w:val="21"/>
        </w:rPr>
        <w:t>扩大认证范围 ：</w:t>
      </w:r>
      <w:r>
        <w:rPr>
          <w:rFonts w:hint="eastAsia"/>
          <w:b/>
          <w:sz w:val="21"/>
          <w:szCs w:val="21"/>
          <w:u w:val="single"/>
          <w:lang w:val="en-US" w:eastAsia="zh-CN"/>
        </w:rPr>
        <w:t xml:space="preserve">       </w:t>
      </w:r>
    </w:p>
    <w:p>
      <w:pPr>
        <w:tabs>
          <w:tab w:val="left" w:pos="645"/>
        </w:tabs>
        <w:rPr>
          <w:rFonts w:hint="eastAsia"/>
          <w:b/>
          <w:sz w:val="21"/>
          <w:szCs w:val="21"/>
        </w:rPr>
      </w:pPr>
      <w:r>
        <w:rPr>
          <w:rFonts w:hint="eastAsia"/>
          <w:b/>
          <w:sz w:val="21"/>
          <w:szCs w:val="21"/>
        </w:rPr>
        <w:sym w:font="Wingdings 2" w:char="0052"/>
      </w:r>
      <w:r>
        <w:rPr>
          <w:rFonts w:hint="eastAsia"/>
          <w:b/>
          <w:sz w:val="21"/>
          <w:szCs w:val="21"/>
        </w:rPr>
        <w:t>其它：_</w:t>
      </w:r>
      <w:r>
        <w:rPr>
          <w:rFonts w:hint="eastAsia"/>
          <w:b/>
          <w:sz w:val="21"/>
          <w:szCs w:val="21"/>
          <w:u w:val="single"/>
          <w:lang w:val="en-US" w:eastAsia="zh-CN"/>
        </w:rPr>
        <w:t>补充</w:t>
      </w:r>
      <w:r>
        <w:rPr>
          <w:rFonts w:hint="eastAsia"/>
          <w:b/>
          <w:sz w:val="21"/>
          <w:szCs w:val="21"/>
          <w:u w:val="single"/>
        </w:rPr>
        <w:t>_</w:t>
      </w:r>
      <w:r>
        <w:rPr>
          <w:rFonts w:hint="eastAsia"/>
          <w:b/>
          <w:sz w:val="21"/>
          <w:szCs w:val="21"/>
        </w:rPr>
        <w:t>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000000" w:themeColor="text1"/>
                <w:sz w:val="21"/>
              </w:rPr>
              <w:t>贵州林鑫物流有限公司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贵州省贵阳市贵阳国家高新技术产业开发区路89号金利大厦第B幢B1单元9层16号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550014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贵州省贵阳市贵阳国家高新技术产业开发区路89号金利大厦第B幢B1单元9层16号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550014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贵州省贵阳市贵阳国家高新技术产业开发区路89号金利大厦第B幢B1单元9层16号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550014</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梁登峰</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13885735122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梁登峰</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梁登峰</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罗兰</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2021年07月16日 上午至2021年07月16日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b/>
                <w:sz w:val="21"/>
                <w:szCs w:val="21"/>
              </w:rPr>
              <w:t>许可范围内普通货运、装卸搬运服务。</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360" w:lineRule="exact"/>
              <w:rPr>
                <w:rFonts w:hint="default"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31.04.01;31.04.02;31.13.04</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eastAsia" w:ascii="宋体" w:hAnsi="宋体" w:eastAsia="宋体"/>
          <w:b/>
          <w:sz w:val="21"/>
          <w:szCs w:val="21"/>
          <w:lang w:eastAsia="zh-CN"/>
        </w:rPr>
      </w:pPr>
      <w:r>
        <w:rPr>
          <w:rFonts w:hint="eastAsia" w:ascii="宋体" w:hAnsi="宋体"/>
          <w:b/>
          <w:sz w:val="21"/>
          <w:szCs w:val="21"/>
        </w:rPr>
        <w:sym w:font="Wingdings 2" w:char="0052"/>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服务抽查了货运</w:t>
      </w:r>
      <w:r>
        <w:rPr>
          <w:rFonts w:hint="eastAsia" w:ascii="宋体" w:hAnsi="宋体"/>
          <w:b/>
          <w:sz w:val="21"/>
          <w:szCs w:val="21"/>
          <w:u w:val="none"/>
          <w:lang w:eastAsia="zh-CN"/>
        </w:rPr>
        <w:t>、</w:t>
      </w:r>
      <w:r>
        <w:rPr>
          <w:rFonts w:hint="eastAsia" w:ascii="宋体" w:hAnsi="宋体"/>
          <w:b/>
          <w:sz w:val="21"/>
          <w:szCs w:val="21"/>
          <w:u w:val="none"/>
        </w:rPr>
        <w:t>装卸搬运服务</w:t>
      </w:r>
      <w:r>
        <w:rPr>
          <w:rFonts w:hint="eastAsia" w:ascii="宋体" w:hAnsi="宋体"/>
          <w:b/>
          <w:sz w:val="21"/>
          <w:szCs w:val="21"/>
          <w:u w:val="none"/>
          <w:lang w:eastAsia="zh-CN"/>
        </w:rPr>
        <w:t>。</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w:t>
      </w:r>
      <w:r>
        <w:rPr>
          <w:rFonts w:hint="eastAsia" w:ascii="宋体" w:hAnsi="宋体" w:cs="Times New Roman"/>
          <w:b/>
          <w:sz w:val="21"/>
          <w:szCs w:val="21"/>
          <w:lang w:val="en-US" w:eastAsia="zh-CN"/>
        </w:rPr>
        <w:t>日的2021年6月17日至202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b/>
                <w:color w:val="000000" w:themeColor="text1"/>
                <w:sz w:val="21"/>
                <w:szCs w:val="21"/>
                <w:lang w:val="en-US" w:eastAsia="zh-CN"/>
              </w:rPr>
            </w:pPr>
            <w:r>
              <w:rPr>
                <w:b/>
                <w:color w:val="000000" w:themeColor="text1"/>
                <w:sz w:val="21"/>
                <w:szCs w:val="21"/>
              </w:rPr>
              <w:t>1、</w:t>
            </w:r>
            <w:r>
              <w:rPr>
                <w:rFonts w:hint="eastAsia"/>
                <w:b/>
                <w:color w:val="000000" w:themeColor="text1"/>
                <w:sz w:val="21"/>
                <w:szCs w:val="21"/>
              </w:rPr>
              <w:t>组织及其环境的识别情况</w:t>
            </w:r>
            <w:r>
              <w:rPr>
                <w:rFonts w:hint="eastAsia"/>
                <w:b/>
                <w:color w:val="000000" w:themeColor="text1"/>
                <w:sz w:val="21"/>
                <w:szCs w:val="21"/>
                <w:lang w:val="en-US" w:eastAsia="zh-CN"/>
              </w:rPr>
              <w:t xml:space="preserve">  </w:t>
            </w:r>
          </w:p>
          <w:p>
            <w:pPr>
              <w:spacing w:line="240" w:lineRule="exact"/>
              <w:rPr>
                <w:rFonts w:hint="default"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组织对内外部因素、相关方需求和期望进行了充分的识别，策划和实施有效。组织确定了体系的边界，基本适用。管理体系删减8.3，理由合理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hint="eastAsia"/>
                <w:b/>
                <w:color w:val="000000" w:themeColor="text1"/>
                <w:sz w:val="21"/>
                <w:szCs w:val="21"/>
                <w:lang w:val="en-US" w:eastAsia="zh-CN"/>
              </w:rPr>
            </w:pPr>
            <w:r>
              <w:rPr>
                <w:b/>
                <w:color w:val="000000" w:themeColor="text1"/>
                <w:sz w:val="21"/>
                <w:szCs w:val="21"/>
              </w:rPr>
              <w:t>2、</w:t>
            </w:r>
            <w:r>
              <w:rPr>
                <w:rFonts w:hint="eastAsia"/>
                <w:b/>
                <w:color w:val="000000" w:themeColor="text1"/>
                <w:sz w:val="21"/>
                <w:szCs w:val="21"/>
              </w:rPr>
              <w:t>相关方需求和期望识别情况</w:t>
            </w:r>
            <w:r>
              <w:rPr>
                <w:rFonts w:hint="eastAsia"/>
                <w:b/>
                <w:color w:val="000000" w:themeColor="text1"/>
                <w:sz w:val="21"/>
                <w:szCs w:val="21"/>
                <w:lang w:val="en-US" w:eastAsia="zh-CN"/>
              </w:rPr>
              <w:t xml:space="preserve">  </w:t>
            </w:r>
          </w:p>
          <w:p>
            <w:pPr>
              <w:spacing w:line="240" w:lineRule="exact"/>
              <w:rPr>
                <w:rFonts w:hint="default"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ascii="黑体" w:hAnsi="黑体" w:eastAsia="黑体" w:cs="黑体"/>
                <w:b/>
                <w:color w:val="000000" w:themeColor="text1"/>
                <w:spacing w:val="-10"/>
                <w:sz w:val="21"/>
                <w:szCs w:val="21"/>
              </w:rPr>
              <w:t>■</w:t>
            </w:r>
            <w:r>
              <w:rPr>
                <w:rFonts w:hint="eastAsia" w:ascii="宋体" w:hAnsi="宋体"/>
                <w:b/>
                <w:color w:val="000000" w:themeColor="text1"/>
                <w:sz w:val="21"/>
                <w:szCs w:val="21"/>
              </w:rPr>
              <w:t>质量/</w:t>
            </w:r>
            <w:r>
              <w:rPr>
                <w:rFonts w:hint="eastAsia"/>
                <w:b/>
                <w:color w:val="000000" w:themeColor="text1"/>
                <w:spacing w:val="-10"/>
                <w:sz w:val="21"/>
                <w:szCs w:val="21"/>
              </w:rPr>
              <w:t>□</w:t>
            </w:r>
            <w:r>
              <w:rPr>
                <w:rFonts w:hint="eastAsia" w:ascii="宋体" w:hAnsi="宋体"/>
                <w:b/>
                <w:color w:val="000000" w:themeColor="text1"/>
                <w:sz w:val="21"/>
                <w:szCs w:val="21"/>
              </w:rPr>
              <w:t>环境/</w:t>
            </w:r>
            <w:r>
              <w:rPr>
                <w:rFonts w:hint="eastAsia"/>
                <w:b/>
                <w:color w:val="000000" w:themeColor="text1"/>
                <w:spacing w:val="-10"/>
                <w:sz w:val="21"/>
                <w:szCs w:val="21"/>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rPr>
                <w:rFonts w:hint="eastAsia"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imes New Roman" w:hAnsi="Times New Roman" w:eastAsia="宋体" w:cs="Times New Roman"/>
                <w:b/>
                <w:color w:val="000000" w:themeColor="text1"/>
                <w:kern w:val="2"/>
                <w:sz w:val="21"/>
                <w:szCs w:val="21"/>
                <w:lang w:val="en-US" w:eastAsia="zh-CN" w:bidi="ar-SA"/>
              </w:rPr>
            </w:pPr>
            <w:r>
              <w:rPr>
                <w:rFonts w:hint="eastAsia" w:ascii="宋体" w:hAnsi="宋体"/>
                <w:sz w:val="21"/>
                <w:szCs w:val="21"/>
              </w:rPr>
              <w:t>质量方针：</w:t>
            </w:r>
            <w:r>
              <w:rPr>
                <w:rFonts w:hint="eastAsia" w:asciiTheme="minorEastAsia" w:hAnsiTheme="minorEastAsia" w:eastAsiaTheme="minorEastAsia" w:cstheme="minorEastAsia"/>
                <w:kern w:val="2"/>
                <w:sz w:val="21"/>
                <w:szCs w:val="21"/>
                <w:lang w:val="en-US" w:eastAsia="zh-CN" w:bidi="ar-SA"/>
              </w:rPr>
              <w:t>“诚信服务；客户至上；质量第一；持续改进”。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hint="eastAsia"/>
                <w:b/>
                <w:color w:val="000000" w:themeColor="text1"/>
                <w:sz w:val="21"/>
                <w:szCs w:val="21"/>
                <w:lang w:val="en-US" w:eastAsia="zh-CN"/>
              </w:rPr>
            </w:pPr>
            <w:r>
              <w:rPr>
                <w:b/>
                <w:color w:val="000000" w:themeColor="text1"/>
                <w:sz w:val="21"/>
                <w:szCs w:val="21"/>
              </w:rPr>
              <w:t>4、</w:t>
            </w:r>
            <w:r>
              <w:rPr>
                <w:rFonts w:hint="eastAsia"/>
                <w:b/>
                <w:color w:val="000000" w:themeColor="text1"/>
                <w:sz w:val="21"/>
                <w:szCs w:val="21"/>
              </w:rPr>
              <w:t>风险识别与控制策划（QMS）</w:t>
            </w:r>
            <w:r>
              <w:rPr>
                <w:rFonts w:hint="eastAsia"/>
                <w:b/>
                <w:color w:val="000000" w:themeColor="text1"/>
                <w:sz w:val="21"/>
                <w:szCs w:val="21"/>
                <w:lang w:val="en-US" w:eastAsia="zh-CN"/>
              </w:rPr>
              <w:t xml:space="preserve">  </w:t>
            </w:r>
          </w:p>
          <w:p>
            <w:pPr>
              <w:spacing w:line="240" w:lineRule="exact"/>
              <w:rPr>
                <w:rFonts w:hint="default"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hint="eastAsia" w:ascii="宋体" w:hAnsi="宋体"/>
                <w:b/>
                <w:color w:val="000000" w:themeColor="text1"/>
                <w:sz w:val="21"/>
                <w:szCs w:val="21"/>
                <w:lang w:val="en-US" w:eastAsia="zh-CN"/>
              </w:rPr>
            </w:pPr>
            <w:r>
              <w:rPr>
                <w:rFonts w:hint="eastAsia" w:ascii="宋体" w:hAnsi="宋体"/>
                <w:b/>
                <w:color w:val="000000" w:themeColor="text1"/>
                <w:sz w:val="21"/>
                <w:szCs w:val="21"/>
              </w:rPr>
              <w:t>质量管理体系过程有：</w:t>
            </w:r>
            <w:r>
              <w:rPr>
                <w:rFonts w:hint="eastAsia" w:ascii="宋体" w:hAnsi="宋体"/>
                <w:b/>
                <w:color w:val="000000" w:themeColor="text1"/>
                <w:sz w:val="20"/>
                <w:szCs w:val="20"/>
              </w:rPr>
              <w:t>合同评审、过程监控管理；产品验收管理；监视和测量设备管理</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w:t>
            </w:r>
            <w:r>
              <w:rPr>
                <w:rFonts w:hint="eastAsia" w:ascii="宋体" w:hAnsi="宋体"/>
                <w:b/>
                <w:color w:val="000000" w:themeColor="text1"/>
                <w:sz w:val="20"/>
                <w:szCs w:val="20"/>
                <w:u w:val="single"/>
                <w:lang w:eastAsia="zh-CN"/>
              </w:rPr>
              <w:t>运输过程、</w:t>
            </w:r>
            <w:r>
              <w:rPr>
                <w:rFonts w:hint="eastAsia" w:ascii="宋体" w:hAnsi="宋体"/>
                <w:b/>
                <w:color w:val="000000" w:themeColor="text1"/>
                <w:sz w:val="21"/>
                <w:szCs w:val="21"/>
                <w:u w:val="single"/>
                <w:lang w:val="en-US" w:eastAsia="zh-CN"/>
              </w:rPr>
              <w:t>服务</w:t>
            </w:r>
            <w:r>
              <w:rPr>
                <w:rFonts w:hint="eastAsia" w:ascii="宋体" w:hAnsi="宋体"/>
                <w:b/>
                <w:color w:val="000000" w:themeColor="text1"/>
                <w:sz w:val="21"/>
                <w:szCs w:val="21"/>
                <w:u w:val="single"/>
                <w:lang w:eastAsia="zh-CN"/>
              </w:rPr>
              <w:t>过程</w:t>
            </w:r>
            <w:r>
              <w:rPr>
                <w:rFonts w:hint="eastAsia" w:ascii="宋体" w:hAnsi="宋体"/>
                <w:b/>
                <w:color w:val="000000" w:themeColor="text1"/>
                <w:sz w:val="21"/>
                <w:szCs w:val="21"/>
                <w:u w:val="single"/>
              </w:rPr>
              <w:t xml:space="preserve"> </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  </w:t>
            </w:r>
            <w:r>
              <w:rPr>
                <w:rFonts w:hint="eastAsia" w:ascii="宋体" w:hAnsi="宋体"/>
                <w:b/>
                <w:color w:val="000000" w:themeColor="text1"/>
                <w:sz w:val="21"/>
                <w:szCs w:val="21"/>
                <w:u w:val="single"/>
              </w:rPr>
              <w:t xml:space="preserve"> </w:t>
            </w:r>
            <w:r>
              <w:rPr>
                <w:rFonts w:hint="eastAsia" w:ascii="宋体" w:hAnsi="宋体"/>
                <w:b/>
                <w:color w:val="000000" w:themeColor="text1"/>
                <w:sz w:val="20"/>
                <w:szCs w:val="20"/>
                <w:u w:val="single"/>
                <w:lang w:eastAsia="zh-CN"/>
              </w:rPr>
              <w:t>运输过程、</w:t>
            </w:r>
            <w:bookmarkStart w:id="29" w:name="_GoBack"/>
            <w:bookmarkEnd w:id="29"/>
            <w:r>
              <w:rPr>
                <w:rFonts w:hint="eastAsia" w:ascii="宋体" w:hAnsi="宋体"/>
                <w:b/>
                <w:color w:val="000000" w:themeColor="text1"/>
                <w:sz w:val="21"/>
                <w:szCs w:val="21"/>
                <w:u w:val="single"/>
                <w:lang w:val="en-US" w:eastAsia="zh-CN"/>
              </w:rPr>
              <w:t>服务</w:t>
            </w:r>
            <w:r>
              <w:rPr>
                <w:rFonts w:hint="eastAsia" w:ascii="宋体" w:hAnsi="宋体"/>
                <w:b/>
                <w:color w:val="000000" w:themeColor="text1"/>
                <w:sz w:val="21"/>
                <w:szCs w:val="21"/>
                <w:u w:val="single"/>
                <w:lang w:eastAsia="zh-CN"/>
              </w:rPr>
              <w:t>过程</w:t>
            </w:r>
          </w:p>
          <w:p>
            <w:pPr>
              <w:tabs>
                <w:tab w:val="left" w:pos="540"/>
              </w:tabs>
              <w:spacing w:line="300" w:lineRule="exact"/>
              <w:ind w:left="211" w:leftChars="0" w:hanging="211" w:hangingChars="100"/>
              <w:rPr>
                <w:rFonts w:ascii="宋体" w:hAnsi="宋体" w:eastAsia="宋体" w:cs="Times New Roman"/>
                <w:b/>
                <w:color w:val="000000" w:themeColor="text1"/>
                <w:kern w:val="2"/>
                <w:sz w:val="21"/>
                <w:szCs w:val="21"/>
                <w:lang w:val="en-US" w:eastAsia="zh-CN" w:bidi="ar-SA"/>
              </w:rPr>
            </w:pPr>
            <w:r>
              <w:rPr>
                <w:rFonts w:ascii="宋体" w:hAnsi="宋体"/>
                <w:b/>
                <w:color w:val="000000" w:themeColor="text1"/>
                <w:sz w:val="21"/>
                <w:szCs w:val="21"/>
              </w:rPr>
              <w:pict>
                <v:shape id="_x0000_s2052" o:spid="_x0000_s2052" o:spt="32" type="#_x0000_t32" style="position:absolute;left:0pt;margin-left:55.15pt;margin-top:12.75pt;height:0pt;width:42pt;z-index:2518906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val="en-US" w:eastAsia="zh-CN"/>
              </w:rPr>
              <w:t>8.3</w:t>
            </w:r>
            <w:r>
              <w:rPr>
                <w:rFonts w:hint="eastAsia" w:ascii="宋体" w:hAnsi="宋体"/>
                <w:b/>
                <w:color w:val="000000" w:themeColor="text1"/>
                <w:sz w:val="21"/>
                <w:szCs w:val="21"/>
              </w:rPr>
              <w:t xml:space="preserve">   ，不适用理由：</w:t>
            </w:r>
            <w:r>
              <w:rPr>
                <w:rFonts w:hint="eastAsia" w:ascii="宋体" w:hAnsi="宋体"/>
                <w:b/>
                <w:color w:val="000000" w:themeColor="text1"/>
                <w:sz w:val="21"/>
                <w:szCs w:val="21"/>
                <w:u w:val="single"/>
              </w:rPr>
              <w:t xml:space="preserve"> </w:t>
            </w:r>
            <w:r>
              <w:rPr>
                <w:rFonts w:hint="eastAsia" w:ascii="宋体" w:hAnsi="宋体" w:eastAsia="宋体" w:cs="Lucida Sans"/>
                <w:kern w:val="2"/>
                <w:sz w:val="21"/>
                <w:szCs w:val="21"/>
                <w:u w:val="single"/>
                <w:lang w:val="en-US" w:eastAsia="zh-CN" w:bidi="ar-SA"/>
              </w:rPr>
              <w:t>公司业务为货物运输、装卸搬运服务，服务流程固定，不需要对其进行设计开发，故8.3条款“产品和服务的设计和开发”的要求不适用，公司确保不适用的质量管理体系的产品和服务的设计和开发要求，不影响组织确保产品和服务合格以及增强顾客满意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rPr>
                <w:rFonts w:hint="eastAsia" w:ascii="Times New Roman" w:hAnsi="Times New Roman" w:eastAsia="宋体" w:cs="Times New Roman"/>
                <w:b/>
                <w:color w:val="000000" w:themeColor="text1"/>
                <w:kern w:val="2"/>
                <w:sz w:val="21"/>
                <w:szCs w:val="21"/>
                <w:lang w:val="en-US" w:eastAsia="zh-CN" w:bidi="ar-SA"/>
              </w:rPr>
            </w:pPr>
            <w:r>
              <w:rPr>
                <w:rFonts w:hint="eastAsia" w:ascii="宋体" w:hAnsi="宋体"/>
                <w:b/>
                <w:color w:val="000000" w:themeColor="text1"/>
                <w:spacing w:val="-8"/>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黑体" w:hAnsi="黑体" w:eastAsia="黑体" w:cs="黑体"/>
                <w:b/>
                <w:color w:val="000000" w:themeColor="text1"/>
                <w:sz w:val="21"/>
                <w:szCs w:val="21"/>
              </w:rPr>
              <w:t>■</w:t>
            </w:r>
            <w:r>
              <w:rPr>
                <w:rFonts w:hint="eastAsia" w:ascii="宋体" w:hAnsi="宋体"/>
                <w:b/>
                <w:color w:val="000000" w:themeColor="text1"/>
                <w:sz w:val="21"/>
                <w:szCs w:val="21"/>
              </w:rPr>
              <w:t>法律法规获取充分，□法律法规获取有遗漏，缺少</w:t>
            </w:r>
          </w:p>
          <w:p>
            <w:pPr>
              <w:tabs>
                <w:tab w:val="left" w:pos="540"/>
              </w:tabs>
              <w:spacing w:line="300" w:lineRule="exact"/>
              <w:ind w:left="-12" w:leftChars="-43" w:hanging="91" w:hangingChars="43"/>
              <w:rPr>
                <w:rFonts w:ascii="宋体" w:hAnsi="宋体"/>
                <w:b/>
                <w:color w:val="000000" w:themeColor="text1"/>
                <w:sz w:val="21"/>
                <w:szCs w:val="21"/>
                <w:u w:val="single"/>
              </w:rPr>
            </w:pP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黑体" w:hAnsi="黑体" w:eastAsia="黑体" w:cs="黑体"/>
                <w:b/>
                <w:color w:val="000000" w:themeColor="text1"/>
                <w:sz w:val="21"/>
                <w:szCs w:val="21"/>
              </w:rPr>
              <w:t>■</w:t>
            </w:r>
            <w:r>
              <w:rPr>
                <w:rFonts w:hint="eastAsia" w:ascii="宋体" w:hAnsi="宋体"/>
                <w:b/>
                <w:color w:val="000000" w:themeColor="text1"/>
                <w:sz w:val="21"/>
                <w:szCs w:val="21"/>
              </w:rPr>
              <w:t>产品/服务□环境因素□危险源，</w:t>
            </w:r>
            <w:r>
              <w:rPr>
                <w:rFonts w:hint="eastAsia" w:ascii="黑体" w:hAnsi="黑体" w:eastAsia="黑体" w:cs="黑体"/>
                <w:b/>
                <w:color w:val="000000" w:themeColor="text1"/>
                <w:sz w:val="21"/>
                <w:szCs w:val="21"/>
              </w:rPr>
              <w:t>■</w:t>
            </w:r>
            <w:r>
              <w:rPr>
                <w:rFonts w:hint="eastAsia" w:ascii="宋体" w:hAnsi="宋体"/>
                <w:b/>
                <w:color w:val="000000" w:themeColor="text1"/>
                <w:sz w:val="21"/>
                <w:szCs w:val="21"/>
              </w:rPr>
              <w:t>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bCs/>
                <w:sz w:val="21"/>
                <w:szCs w:val="21"/>
              </w:rPr>
            </w:pPr>
            <w:r>
              <w:rPr>
                <w:rFonts w:hint="eastAsia"/>
                <w:b/>
                <w:bCs/>
                <w:sz w:val="21"/>
                <w:szCs w:val="21"/>
                <w:lang w:val="en-US" w:eastAsia="zh-CN"/>
              </w:rPr>
              <w:t>9</w:t>
            </w:r>
            <w:r>
              <w:rPr>
                <w:rFonts w:hint="eastAsia"/>
                <w:b/>
                <w:bCs/>
                <w:sz w:val="21"/>
                <w:szCs w:val="21"/>
              </w:rPr>
              <w:t>. 目标、方案</w:t>
            </w:r>
          </w:p>
          <w:p>
            <w:pPr>
              <w:spacing w:line="300" w:lineRule="exact"/>
              <w:rPr>
                <w:sz w:val="21"/>
                <w:szCs w:val="21"/>
              </w:rPr>
            </w:pPr>
            <w:r>
              <w:rPr>
                <w:rFonts w:hint="eastAsia"/>
                <w:sz w:val="21"/>
                <w:szCs w:val="21"/>
              </w:rPr>
              <w:t>（在相关层次上建立可测量的目标，目标、方案的有效性，对质量目标的实现情况进行评价并叙述测量方法）</w:t>
            </w:r>
          </w:p>
          <w:p>
            <w:pPr>
              <w:spacing w:line="300" w:lineRule="exact"/>
              <w:ind w:firstLine="420" w:firstLineChars="200"/>
              <w:rPr>
                <w:sz w:val="21"/>
                <w:szCs w:val="21"/>
              </w:rPr>
            </w:pPr>
            <w:r>
              <w:rPr>
                <w:rFonts w:hint="eastAsia"/>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sz w:val="21"/>
                <w:szCs w:val="21"/>
              </w:rPr>
            </w:pPr>
            <w:r>
              <w:rPr>
                <w:rFonts w:hint="eastAsia"/>
                <w:sz w:val="21"/>
                <w:szCs w:val="21"/>
              </w:rPr>
              <w:t xml:space="preserve">公司质量目标为：       </w:t>
            </w:r>
            <w:r>
              <w:rPr>
                <w:rFonts w:hint="eastAsia"/>
                <w:sz w:val="21"/>
                <w:szCs w:val="21"/>
                <w:lang w:val="en-US" w:eastAsia="zh-CN"/>
              </w:rPr>
              <w:t xml:space="preserve">    </w:t>
            </w:r>
            <w:r>
              <w:rPr>
                <w:rFonts w:hint="eastAsia"/>
                <w:sz w:val="21"/>
                <w:szCs w:val="21"/>
                <w:lang w:eastAsia="zh-CN"/>
              </w:rPr>
              <w:t>考核</w:t>
            </w:r>
            <w:r>
              <w:rPr>
                <w:rFonts w:hint="eastAsia"/>
                <w:sz w:val="21"/>
                <w:szCs w:val="21"/>
              </w:rPr>
              <w:t>情况（20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月-20</w:t>
            </w:r>
            <w:r>
              <w:rPr>
                <w:sz w:val="21"/>
                <w:szCs w:val="21"/>
              </w:rPr>
              <w:t>2</w:t>
            </w:r>
            <w:r>
              <w:rPr>
                <w:rFonts w:hint="eastAsia"/>
                <w:sz w:val="21"/>
                <w:szCs w:val="21"/>
                <w:lang w:val="en-US" w:eastAsia="zh-CN"/>
              </w:rPr>
              <w:t>1</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eastAsia="zh-CN"/>
              </w:rPr>
              <w:t>、</w:t>
            </w:r>
            <w:r>
              <w:rPr>
                <w:rFonts w:hint="eastAsia"/>
                <w:sz w:val="21"/>
                <w:szCs w:val="21"/>
                <w:lang w:val="en-US" w:eastAsia="zh-CN"/>
              </w:rPr>
              <w:t>考核频次：1次/每季度</w:t>
            </w:r>
            <w:r>
              <w:rPr>
                <w:rFonts w:hint="eastAsia"/>
                <w:sz w:val="21"/>
                <w:szCs w:val="21"/>
              </w:rPr>
              <w:t>）</w:t>
            </w:r>
          </w:p>
          <w:p>
            <w:pPr>
              <w:spacing w:line="360" w:lineRule="auto"/>
              <w:rPr>
                <w:sz w:val="21"/>
                <w:szCs w:val="21"/>
              </w:rPr>
            </w:pPr>
            <w:r>
              <w:rPr>
                <w:rFonts w:hint="eastAsia"/>
                <w:sz w:val="21"/>
                <w:szCs w:val="21"/>
              </w:rPr>
              <w:t>1）</w:t>
            </w:r>
            <w:r>
              <w:rPr>
                <w:rFonts w:hint="eastAsia"/>
                <w:sz w:val="21"/>
                <w:szCs w:val="21"/>
                <w:lang w:val="en-US" w:eastAsia="zh-CN"/>
              </w:rPr>
              <w:t>运输服务履约率100%；</w:t>
            </w:r>
            <w:r>
              <w:rPr>
                <w:sz w:val="21"/>
                <w:szCs w:val="21"/>
              </w:rPr>
              <w:t xml:space="preserve">              </w:t>
            </w:r>
            <w:r>
              <w:rPr>
                <w:rFonts w:hint="eastAsia"/>
                <w:sz w:val="21"/>
                <w:szCs w:val="21"/>
                <w:lang w:val="en-US" w:eastAsia="zh-CN"/>
              </w:rPr>
              <w:t xml:space="preserve">       100%</w:t>
            </w:r>
            <w:r>
              <w:rPr>
                <w:sz w:val="21"/>
                <w:szCs w:val="21"/>
              </w:rPr>
              <w:t xml:space="preserve">  </w:t>
            </w:r>
          </w:p>
          <w:p>
            <w:pPr>
              <w:spacing w:line="360" w:lineRule="auto"/>
              <w:rPr>
                <w:rFonts w:hint="eastAsia"/>
                <w:sz w:val="21"/>
                <w:szCs w:val="21"/>
                <w:lang w:val="en-US" w:eastAsia="zh-CN"/>
              </w:rPr>
            </w:pPr>
            <w:r>
              <w:rPr>
                <w:rFonts w:hint="eastAsia"/>
                <w:sz w:val="21"/>
                <w:szCs w:val="21"/>
              </w:rPr>
              <w:t>2）</w:t>
            </w:r>
            <w:r>
              <w:rPr>
                <w:rFonts w:hint="eastAsia"/>
                <w:sz w:val="21"/>
                <w:szCs w:val="21"/>
                <w:lang w:val="en-US" w:eastAsia="zh-CN"/>
              </w:rPr>
              <w:t>顾客的满意率≥90分。</w:t>
            </w:r>
            <w:r>
              <w:rPr>
                <w:sz w:val="21"/>
                <w:szCs w:val="21"/>
              </w:rPr>
              <w:t xml:space="preserve">           </w:t>
            </w:r>
            <w:r>
              <w:rPr>
                <w:rFonts w:hint="eastAsia"/>
                <w:sz w:val="21"/>
                <w:szCs w:val="21"/>
                <w:lang w:val="en-US" w:eastAsia="zh-CN"/>
              </w:rPr>
              <w:t xml:space="preserve">            98分</w:t>
            </w:r>
          </w:p>
          <w:p>
            <w:pPr>
              <w:pStyle w:val="2"/>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3）装卸搬运产品破损为0                         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质量管理</w:t>
            </w:r>
            <w:r>
              <w:rPr>
                <w:rFonts w:hint="eastAsia" w:ascii="宋体" w:hAnsi="宋体" w:cs="宋体"/>
                <w:color w:val="000000" w:themeColor="text1"/>
                <w:sz w:val="21"/>
                <w:szCs w:val="21"/>
              </w:rPr>
              <w:t>体系文件，体系文件对管理体系各过程进行了识别确定、明确了各要素间的相互关系及其管控要求。公司体系文件</w:t>
            </w:r>
            <w:r>
              <w:rPr>
                <w:rFonts w:hint="eastAsia" w:ascii="宋体" w:hAnsi="宋体" w:eastAsia="宋体" w:cs="宋体"/>
                <w:color w:val="000000" w:themeColor="text1"/>
                <w:sz w:val="21"/>
                <w:szCs w:val="21"/>
              </w:rPr>
              <w:t>于</w:t>
            </w:r>
            <w:r>
              <w:rPr>
                <w:rFonts w:hint="eastAsia" w:ascii="宋体" w:hAnsi="宋体" w:eastAsia="宋体" w:cs="宋体"/>
                <w:color w:val="000000" w:themeColor="text1"/>
                <w:sz w:val="21"/>
                <w:szCs w:val="21"/>
                <w:lang w:eastAsia="zh-CN"/>
              </w:rPr>
              <w:t>20</w:t>
            </w:r>
            <w:r>
              <w:rPr>
                <w:rFonts w:hint="eastAsia" w:ascii="宋体" w:hAnsi="宋体" w:cs="宋体"/>
                <w:color w:val="000000" w:themeColor="text1"/>
                <w:sz w:val="21"/>
                <w:szCs w:val="21"/>
                <w:lang w:val="en-US" w:eastAsia="zh-CN"/>
              </w:rPr>
              <w:t>20</w:t>
            </w:r>
            <w:r>
              <w:rPr>
                <w:rFonts w:hint="eastAsia" w:ascii="宋体" w:hAnsi="宋体" w:eastAsia="宋体" w:cs="宋体"/>
                <w:color w:val="000000" w:themeColor="text1"/>
                <w:sz w:val="21"/>
                <w:szCs w:val="21"/>
                <w:lang w:eastAsia="zh-CN"/>
              </w:rPr>
              <w:t>年</w:t>
            </w:r>
            <w:r>
              <w:rPr>
                <w:rFonts w:hint="eastAsia" w:ascii="宋体" w:hAnsi="宋体" w:cs="宋体"/>
                <w:color w:val="000000" w:themeColor="text1"/>
                <w:sz w:val="21"/>
                <w:szCs w:val="21"/>
                <w:lang w:val="en-US" w:eastAsia="zh-CN"/>
              </w:rPr>
              <w:t>9</w:t>
            </w:r>
            <w:r>
              <w:rPr>
                <w:rFonts w:hint="eastAsia" w:ascii="宋体" w:hAnsi="宋体" w:eastAsia="宋体" w:cs="宋体"/>
                <w:color w:val="000000" w:themeColor="text1"/>
                <w:sz w:val="21"/>
                <w:szCs w:val="21"/>
                <w:lang w:eastAsia="zh-CN"/>
              </w:rPr>
              <w:t>月</w:t>
            </w:r>
            <w:r>
              <w:rPr>
                <w:rFonts w:hint="eastAsia" w:ascii="宋体" w:hAnsi="宋体" w:cs="宋体"/>
                <w:color w:val="000000" w:themeColor="text1"/>
                <w:sz w:val="21"/>
                <w:szCs w:val="21"/>
                <w:lang w:val="en-US" w:eastAsia="zh-CN"/>
              </w:rPr>
              <w:t>10</w:t>
            </w:r>
            <w:r>
              <w:rPr>
                <w:rFonts w:hint="eastAsia" w:ascii="宋体" w:hAnsi="宋体" w:eastAsia="宋体" w:cs="宋体"/>
                <w:color w:val="000000" w:themeColor="text1"/>
                <w:sz w:val="21"/>
                <w:szCs w:val="21"/>
                <w:lang w:eastAsia="zh-CN"/>
              </w:rPr>
              <w:t>日</w:t>
            </w:r>
            <w:r>
              <w:rPr>
                <w:rFonts w:hint="eastAsia" w:ascii="宋体" w:hAnsi="宋体" w:eastAsia="宋体" w:cs="宋体"/>
                <w:color w:val="000000" w:themeColor="text1"/>
                <w:sz w:val="21"/>
                <w:szCs w:val="21"/>
              </w:rPr>
              <w:t>予以发布并有效实施运行，经对文件评审判定：符合标准要求，符合公司的实际且具有可操作性。组织对管理体系文件化信息进行了有效性管理，包括文件的格式、标识、批准、</w:t>
            </w:r>
            <w:r>
              <w:rPr>
                <w:rFonts w:hint="eastAsia" w:ascii="宋体" w:hAnsi="宋体" w:cs="宋体"/>
                <w:color w:val="000000" w:themeColor="text1"/>
                <w:sz w:val="21"/>
                <w:szCs w:val="21"/>
              </w:rPr>
              <w:t>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highlight w:val="none"/>
              </w:rPr>
            </w:pPr>
            <w:r>
              <w:rPr>
                <w:rFonts w:hint="eastAsia" w:ascii="宋体" w:hAnsi="宋体"/>
                <w:b/>
                <w:color w:val="000000" w:themeColor="text1"/>
                <w:sz w:val="21"/>
                <w:szCs w:val="21"/>
              </w:rPr>
              <w:t>设</w:t>
            </w:r>
            <w:r>
              <w:rPr>
                <w:rFonts w:hint="eastAsia" w:ascii="宋体" w:hAnsi="宋体"/>
                <w:b/>
                <w:color w:val="000000" w:themeColor="text1"/>
                <w:sz w:val="21"/>
                <w:szCs w:val="21"/>
                <w:highlight w:val="none"/>
              </w:rPr>
              <w:t>备设施（包括信息系统）、</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olor w:val="000000" w:themeColor="text1"/>
                <w:sz w:val="21"/>
                <w:szCs w:val="21"/>
                <w:highlight w:val="none"/>
              </w:rPr>
              <w:t>办公场所面积</w:t>
            </w:r>
            <w:r>
              <w:rPr>
                <w:rFonts w:hint="eastAsia" w:ascii="宋体" w:hAnsi="宋体"/>
                <w:color w:val="000000" w:themeColor="text1"/>
                <w:sz w:val="21"/>
                <w:szCs w:val="21"/>
                <w:highlight w:val="none"/>
                <w:lang w:val="en-US" w:eastAsia="zh-CN"/>
              </w:rPr>
              <w:t>40</w:t>
            </w:r>
            <w:r>
              <w:rPr>
                <w:rFonts w:hint="eastAsia" w:ascii="宋体" w:hAnsi="宋体"/>
                <w:color w:val="000000" w:themeColor="text1"/>
                <w:sz w:val="21"/>
                <w:szCs w:val="21"/>
                <w:highlight w:val="none"/>
              </w:rPr>
              <w:t>平方左右，</w:t>
            </w:r>
            <w:r>
              <w:rPr>
                <w:rFonts w:hint="eastAsia" w:ascii="宋体" w:hAnsi="宋体" w:cs="宋体"/>
                <w:color w:val="000000" w:themeColor="text1"/>
                <w:sz w:val="21"/>
                <w:szCs w:val="21"/>
                <w:highlight w:val="none"/>
              </w:rPr>
              <w:t>主要生产设备包括</w:t>
            </w:r>
            <w:r>
              <w:rPr>
                <w:rFonts w:hint="eastAsia" w:ascii="宋体" w:hAnsi="宋体"/>
                <w:color w:val="000000" w:themeColor="text1"/>
                <w:sz w:val="21"/>
                <w:szCs w:val="21"/>
                <w:highlight w:val="none"/>
                <w:lang w:eastAsia="zh-CN"/>
              </w:rPr>
              <w:t>电脑及办公设备、</w:t>
            </w:r>
            <w:r>
              <w:rPr>
                <w:rFonts w:hint="eastAsia" w:ascii="宋体" w:hAnsi="宋体"/>
                <w:color w:val="000000" w:themeColor="text1"/>
                <w:sz w:val="21"/>
                <w:szCs w:val="21"/>
                <w:highlight w:val="none"/>
                <w:lang w:val="en-US" w:eastAsia="zh-CN"/>
              </w:rPr>
              <w:t>小推</w:t>
            </w:r>
            <w:r>
              <w:rPr>
                <w:rFonts w:hint="eastAsia" w:ascii="宋体" w:hAnsi="宋体" w:cs="宋体"/>
                <w:sz w:val="21"/>
                <w:szCs w:val="21"/>
                <w:highlight w:val="none"/>
                <w:lang w:val="en-US" w:eastAsia="zh-CN"/>
              </w:rPr>
              <w:t>车、货车</w:t>
            </w:r>
            <w:r>
              <w:rPr>
                <w:rFonts w:hint="eastAsia" w:ascii="宋体" w:hAnsi="宋体" w:cs="宋体"/>
                <w:color w:val="000000" w:themeColor="text1"/>
                <w:sz w:val="21"/>
                <w:szCs w:val="21"/>
                <w:highlight w:val="none"/>
              </w:rPr>
              <w:t>等</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可以满足许可范围内普通货运、装卸搬运服务的需要。对汽车定点维护保养、办公设备按月方式进行维护保养，并实施。特种设备：无。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lang w:val="en-US" w:eastAsia="zh-CN"/>
              </w:rPr>
              <w:t>办公及服务现场</w:t>
            </w:r>
            <w:r>
              <w:rPr>
                <w:rFonts w:hint="eastAsia" w:ascii="宋体" w:hAnsi="宋体" w:cs="宋体"/>
                <w:sz w:val="21"/>
                <w:szCs w:val="21"/>
              </w:rPr>
              <w:t>设备布置合理，通道畅通，照明设施齐全，均配备了消防设施等设施。每月由</w:t>
            </w:r>
            <w:r>
              <w:rPr>
                <w:rFonts w:hint="eastAsia" w:ascii="宋体" w:hAnsi="宋体" w:cs="宋体"/>
                <w:sz w:val="21"/>
                <w:szCs w:val="21"/>
                <w:lang w:eastAsia="zh-CN"/>
              </w:rPr>
              <w:t>综合部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b/>
                <w:bCs/>
                <w:sz w:val="21"/>
                <w:szCs w:val="21"/>
              </w:rPr>
            </w:pPr>
            <w:r>
              <w:rPr>
                <w:rFonts w:hint="eastAsia"/>
                <w:b/>
                <w:bCs/>
                <w:sz w:val="21"/>
                <w:szCs w:val="21"/>
              </w:rPr>
              <w:t>监视和测量资源</w:t>
            </w:r>
          </w:p>
          <w:p>
            <w:pPr>
              <w:pStyle w:val="2"/>
              <w:rPr>
                <w:rFonts w:hint="default" w:eastAsia="宋体"/>
                <w:sz w:val="21"/>
                <w:szCs w:val="21"/>
                <w:lang w:val="en-US" w:eastAsia="zh-CN"/>
              </w:rPr>
            </w:pPr>
            <w:r>
              <w:rPr>
                <w:sz w:val="21"/>
                <w:szCs w:val="21"/>
              </w:rPr>
              <w:t>装卸搬运服务</w:t>
            </w:r>
            <w:r>
              <w:rPr>
                <w:rFonts w:hint="eastAsia"/>
                <w:sz w:val="21"/>
                <w:szCs w:val="21"/>
                <w:lang w:eastAsia="zh-CN"/>
              </w:rPr>
              <w:t>，</w:t>
            </w:r>
            <w:r>
              <w:rPr>
                <w:rFonts w:hint="eastAsia" w:ascii="宋体" w:hAnsi="宋体" w:cs="宋体"/>
                <w:sz w:val="21"/>
                <w:szCs w:val="21"/>
              </w:rPr>
              <w:t>暂未配置检测设备，采取人为检查方式评价</w:t>
            </w:r>
            <w:r>
              <w:rPr>
                <w:rFonts w:hint="eastAsia" w:ascii="宋体" w:hAnsi="宋体" w:cs="宋体"/>
                <w:sz w:val="21"/>
                <w:szCs w:val="21"/>
                <w:lang w:eastAsia="zh-CN"/>
              </w:rPr>
              <w:t>。</w:t>
            </w:r>
            <w:r>
              <w:rPr>
                <w:rFonts w:hint="eastAsia" w:ascii="宋体" w:hAnsi="宋体" w:cs="宋体"/>
                <w:sz w:val="21"/>
                <w:szCs w:val="21"/>
                <w:lang w:val="en-US" w:eastAsia="zh-CN"/>
              </w:rPr>
              <w:t>货运服务</w:t>
            </w:r>
            <w:r>
              <w:rPr>
                <w:rFonts w:hint="eastAsia" w:ascii="宋体" w:hAnsi="宋体"/>
                <w:szCs w:val="21"/>
                <w:highlight w:val="none"/>
              </w:rPr>
              <w:t>卫星定位系统</w:t>
            </w:r>
            <w:r>
              <w:rPr>
                <w:rFonts w:hint="eastAsia" w:ascii="宋体" w:hAnsi="宋体"/>
                <w:szCs w:val="21"/>
                <w:highlight w:val="none"/>
                <w:lang w:eastAsia="zh-CN"/>
              </w:rPr>
              <w:t>（</w:t>
            </w:r>
            <w:r>
              <w:rPr>
                <w:rFonts w:hint="eastAsia" w:ascii="宋体" w:hAnsi="宋体"/>
                <w:szCs w:val="21"/>
                <w:highlight w:val="none"/>
                <w:lang w:val="en-US" w:eastAsia="zh-CN"/>
              </w:rPr>
              <w:t>GPS）</w:t>
            </w:r>
            <w:r>
              <w:rPr>
                <w:rFonts w:hint="eastAsia" w:ascii="宋体" w:hAnsi="宋体"/>
                <w:szCs w:val="21"/>
                <w:highlight w:val="none"/>
              </w:rPr>
              <w:t>，</w:t>
            </w:r>
            <w:r>
              <w:rPr>
                <w:rFonts w:hint="eastAsia" w:ascii="宋体" w:hAnsi="宋体" w:cs="宋体"/>
                <w:szCs w:val="21"/>
                <w:highlight w:val="none"/>
              </w:rPr>
              <w:t>由行业管理部门指定的第三方公司提供，其维保也由该部门负责。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1"/>
                <w:szCs w:val="21"/>
              </w:rPr>
            </w:pPr>
            <w:r>
              <w:rPr>
                <w:rFonts w:hint="eastAsia" w:ascii="宋体" w:hAnsi="宋体"/>
                <w:b/>
                <w:color w:val="000000" w:themeColor="text1"/>
                <w:sz w:val="21"/>
                <w:szCs w:val="21"/>
              </w:rPr>
              <w:t>知识</w:t>
            </w:r>
          </w:p>
          <w:p>
            <w:pPr>
              <w:spacing w:line="240" w:lineRule="exact"/>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hint="eastAsia"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hint="eastAsia"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rFonts w:hint="eastAsia"/>
                <w:b/>
                <w:color w:val="000000" w:themeColor="text1"/>
                <w:sz w:val="21"/>
                <w:szCs w:val="21"/>
                <w:lang w:val="en-US" w:eastAsia="zh-CN"/>
              </w:rPr>
            </w:pPr>
            <w:r>
              <w:rPr>
                <w:rFonts w:hint="eastAsia"/>
                <w:b/>
                <w:color w:val="000000" w:themeColor="text1"/>
                <w:sz w:val="21"/>
                <w:szCs w:val="21"/>
              </w:rPr>
              <w:t>（包括针对组织宗旨，制定相关管理方针政策、确保方针为员工理解并在运营中实施，监视方针的实施并评审方针的适宜性）</w:t>
            </w:r>
            <w:r>
              <w:rPr>
                <w:rFonts w:hint="eastAsia"/>
                <w:b/>
                <w:color w:val="000000" w:themeColor="text1"/>
                <w:sz w:val="21"/>
                <w:szCs w:val="21"/>
                <w:lang w:val="en-US" w:eastAsia="zh-CN"/>
              </w:rPr>
              <w:t xml:space="preserve">  </w:t>
            </w:r>
          </w:p>
          <w:p>
            <w:pPr>
              <w:spacing w:line="300" w:lineRule="exact"/>
              <w:ind w:left="1" w:leftChars="0"/>
              <w:rPr>
                <w:rFonts w:hint="default"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1"/>
                <w:szCs w:val="21"/>
                <w:lang w:val="en-US" w:eastAsia="zh-CN"/>
              </w:rPr>
            </w:pPr>
            <w:r>
              <w:rPr>
                <w:rFonts w:hint="eastAsia" w:ascii="楷体_GB2312" w:eastAsia="楷体_GB2312"/>
                <w:b/>
                <w:color w:val="000000" w:themeColor="text1"/>
                <w:sz w:val="21"/>
                <w:szCs w:val="21"/>
              </w:rPr>
              <w:t xml:space="preserve">                内部沟通的效果：</w:t>
            </w:r>
            <w:r>
              <w:rPr>
                <w:rFonts w:hint="eastAsia" w:ascii="楷体_GB2312" w:eastAsia="楷体_GB2312"/>
                <w:b/>
                <w:color w:val="000000" w:themeColor="text1"/>
                <w:sz w:val="21"/>
                <w:szCs w:val="21"/>
                <w:lang w:eastAsia="zh-CN"/>
              </w:rPr>
              <w:t>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300" w:lineRule="exact"/>
              <w:rPr>
                <w:b/>
                <w:color w:val="000000" w:themeColor="text1"/>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w:t>
            </w:r>
            <w:r>
              <w:rPr>
                <w:rFonts w:hint="eastAsia" w:ascii="宋体" w:hAnsi="宋体" w:cs="宋体"/>
                <w:color w:val="000000"/>
                <w:sz w:val="21"/>
                <w:szCs w:val="21"/>
                <w:lang w:val="en-US" w:eastAsia="zh-CN"/>
              </w:rPr>
              <w:t>质量</w:t>
            </w:r>
            <w:r>
              <w:rPr>
                <w:rFonts w:hint="eastAsia" w:ascii="宋体" w:hAnsi="宋体" w:cs="宋体"/>
                <w:color w:val="000000"/>
                <w:sz w:val="21"/>
                <w:szCs w:val="21"/>
              </w:rPr>
              <w:t>检测部门在各阶段对服务质量实施检查与</w:t>
            </w:r>
            <w:r>
              <w:rPr>
                <w:rFonts w:hint="eastAsia" w:ascii="宋体" w:hAnsi="宋体" w:cs="宋体"/>
                <w:color w:val="000000"/>
                <w:sz w:val="21"/>
                <w:szCs w:val="21"/>
                <w:lang w:val="en-US" w:eastAsia="zh-CN"/>
              </w:rPr>
              <w:t>服务</w:t>
            </w:r>
            <w:r>
              <w:rPr>
                <w:rFonts w:hint="eastAsia" w:ascii="宋体" w:hAnsi="宋体" w:cs="宋体"/>
                <w:color w:val="000000"/>
                <w:sz w:val="21"/>
                <w:szCs w:val="21"/>
              </w:rPr>
              <w:t>验收的管理要求。内容基本具备全面性、系统性及可操作性。质量检查与</w:t>
            </w:r>
            <w:r>
              <w:rPr>
                <w:rFonts w:hint="eastAsia" w:ascii="宋体" w:hAnsi="宋体" w:cs="宋体"/>
                <w:color w:val="000000"/>
                <w:sz w:val="21"/>
                <w:szCs w:val="21"/>
                <w:lang w:val="en-US" w:eastAsia="zh-CN"/>
              </w:rPr>
              <w:t>服务</w:t>
            </w:r>
            <w:r>
              <w:rPr>
                <w:rFonts w:hint="eastAsia" w:ascii="宋体" w:hAnsi="宋体" w:cs="宋体"/>
                <w:color w:val="000000"/>
                <w:sz w:val="21"/>
                <w:szCs w:val="21"/>
              </w:rPr>
              <w:t>验收均在</w:t>
            </w:r>
            <w:r>
              <w:rPr>
                <w:rFonts w:hint="eastAsia" w:ascii="宋体" w:hAnsi="宋体" w:cs="宋体"/>
                <w:color w:val="000000"/>
                <w:sz w:val="21"/>
                <w:szCs w:val="21"/>
                <w:lang w:val="en-US" w:eastAsia="zh-CN"/>
              </w:rPr>
              <w:t>服务过程中</w:t>
            </w:r>
            <w:r>
              <w:rPr>
                <w:rFonts w:hint="eastAsia" w:ascii="宋体" w:hAnsi="宋体" w:cs="宋体"/>
                <w:color w:val="000000"/>
                <w:sz w:val="21"/>
                <w:szCs w:val="21"/>
              </w:rPr>
              <w:t>予以实现，范围包括：</w:t>
            </w:r>
            <w:r>
              <w:rPr>
                <w:rFonts w:hint="eastAsia" w:ascii="宋体" w:hAnsi="宋体" w:cs="宋体"/>
                <w:color w:val="000000"/>
                <w:sz w:val="21"/>
                <w:szCs w:val="21"/>
                <w:lang w:val="en-US" w:eastAsia="zh-CN"/>
              </w:rPr>
              <w:t>整个服务</w:t>
            </w:r>
            <w:r>
              <w:rPr>
                <w:rFonts w:hint="eastAsia" w:ascii="宋体" w:hAnsi="宋体" w:cs="宋体"/>
                <w:color w:val="000000"/>
                <w:sz w:val="21"/>
                <w:szCs w:val="21"/>
              </w:rPr>
              <w:t>过程。以此保证持续向顾客稳定提供</w:t>
            </w:r>
            <w:r>
              <w:rPr>
                <w:rFonts w:hint="eastAsia" w:ascii="宋体" w:hAnsi="宋体" w:cs="宋体"/>
                <w:color w:val="000000"/>
                <w:sz w:val="21"/>
                <w:szCs w:val="21"/>
                <w:lang w:val="en-US" w:eastAsia="zh-CN"/>
              </w:rPr>
              <w:t>优质的服务</w:t>
            </w:r>
            <w:r>
              <w:rPr>
                <w:rFonts w:hint="eastAsia" w:ascii="宋体" w:hAnsi="宋体" w:cs="宋体"/>
                <w:color w:val="000000"/>
                <w:sz w:val="21"/>
                <w:szCs w:val="21"/>
              </w:rPr>
              <w:t>。</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ind w:firstLine="207" w:firstLineChars="98"/>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color w:val="000000" w:themeColor="text1"/>
                <w:sz w:val="21"/>
                <w:szCs w:val="21"/>
                <w:lang w:val="en-US" w:eastAsia="zh-CN"/>
              </w:rPr>
            </w:pPr>
            <w:r>
              <w:rPr>
                <w:rFonts w:hint="eastAsia"/>
                <w:b/>
                <w:color w:val="000000" w:themeColor="text1"/>
                <w:sz w:val="21"/>
                <w:szCs w:val="21"/>
              </w:rPr>
              <w:t>8. OHSMS组织对不可接受风险实施控制的结果</w:t>
            </w:r>
            <w:r>
              <w:rPr>
                <w:rFonts w:hint="eastAsia"/>
                <w:b/>
                <w:color w:val="000000" w:themeColor="text1"/>
                <w:sz w:val="21"/>
                <w:szCs w:val="21"/>
                <w:lang w:val="en-US" w:eastAsia="zh-CN"/>
              </w:rPr>
              <w:t xml:space="preserve">   </w:t>
            </w:r>
          </w:p>
          <w:p>
            <w:pPr>
              <w:spacing w:line="240" w:lineRule="exact"/>
              <w:rPr>
                <w:rFonts w:hint="default"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imes New Roman" w:hAnsi="Times New Roman" w:eastAsia="宋体" w:cs="Times New Roman"/>
                <w:b/>
                <w:color w:val="000000" w:themeColor="text1"/>
                <w:spacing w:val="-4"/>
                <w:kern w:val="2"/>
                <w:sz w:val="20"/>
                <w:szCs w:val="20"/>
                <w:lang w:val="en-US" w:eastAsia="zh-CN" w:bidi="ar-SA"/>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val="0"/>
                <w:bCs/>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 w:val="21"/>
                <w:szCs w:val="21"/>
                <w:highlight w:val="none"/>
                <w:lang w:val="en-US" w:eastAsia="zh-CN"/>
              </w:rPr>
              <w:t>21</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1月</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2021年6</w:t>
            </w:r>
            <w:r>
              <w:rPr>
                <w:rFonts w:hint="eastAsia" w:ascii="宋体" w:hAnsi="宋体" w:cs="宋体"/>
                <w:color w:val="000000" w:themeColor="text1"/>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5" w:hangingChars="50"/>
              <w:rPr>
                <w:rFonts w:hint="eastAsia"/>
                <w:b/>
                <w:color w:val="000000" w:themeColor="text1"/>
                <w:sz w:val="21"/>
                <w:szCs w:val="21"/>
                <w:lang w:val="en-US" w:eastAsia="zh-CN"/>
              </w:rPr>
            </w:pPr>
            <w:r>
              <w:rPr>
                <w:rFonts w:hint="eastAsia"/>
                <w:b/>
                <w:color w:val="000000" w:themeColor="text1"/>
                <w:sz w:val="21"/>
                <w:szCs w:val="21"/>
              </w:rPr>
              <w:t>2.顾客满意</w:t>
            </w:r>
            <w:r>
              <w:rPr>
                <w:rFonts w:hint="eastAsia"/>
                <w:b/>
                <w:color w:val="000000" w:themeColor="text1"/>
                <w:sz w:val="21"/>
                <w:szCs w:val="21"/>
                <w:lang w:val="en-US" w:eastAsia="zh-CN"/>
              </w:rPr>
              <w:t xml:space="preserve">  </w:t>
            </w:r>
          </w:p>
          <w:p>
            <w:pPr>
              <w:spacing w:line="240" w:lineRule="exact"/>
              <w:ind w:left="105" w:leftChars="0" w:hanging="105" w:hangingChars="50"/>
              <w:rPr>
                <w:rFonts w:hint="default"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公司建立了顾客满意度监视和测量控制程序，对顾客投诉处理及顾客满意度评价做了明确的规定，并按规定对顾客反馈及时处理，但在顾客反馈信息的</w:t>
            </w:r>
            <w:r>
              <w:rPr>
                <w:rFonts w:hint="eastAsia" w:ascii="宋体" w:hAnsi="宋体" w:cs="宋体"/>
                <w:color w:val="000000" w:themeColor="text1"/>
                <w:sz w:val="21"/>
                <w:szCs w:val="21"/>
                <w:highlight w:val="none"/>
              </w:rPr>
              <w:t>利用上不够，需要改善。近年来未发生重大顾客投诉和产品质量事故。顾客满意度调查按规定实施，20</w:t>
            </w:r>
            <w:r>
              <w:rPr>
                <w:rFonts w:hint="eastAsia" w:ascii="宋体" w:hAnsi="宋体" w:cs="宋体"/>
                <w:color w:val="000000" w:themeColor="text1"/>
                <w:sz w:val="21"/>
                <w:szCs w:val="21"/>
                <w:highlight w:val="none"/>
                <w:lang w:val="en-US" w:eastAsia="zh-CN"/>
              </w:rPr>
              <w:t>21</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rPr>
              <w:t>月实施，满意度评价</w:t>
            </w:r>
            <w:r>
              <w:rPr>
                <w:rFonts w:hint="eastAsia" w:ascii="宋体" w:hAnsi="宋体" w:cs="宋体"/>
                <w:color w:val="000000" w:themeColor="text1"/>
                <w:sz w:val="21"/>
                <w:szCs w:val="21"/>
                <w:highlight w:val="none"/>
                <w:lang w:val="en-US" w:eastAsia="zh-CN"/>
              </w:rPr>
              <w:t>98分</w:t>
            </w:r>
            <w:r>
              <w:rPr>
                <w:rFonts w:hint="eastAsia" w:ascii="宋体" w:hAnsi="宋体" w:cs="宋体"/>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sz w:val="21"/>
                <w:szCs w:val="21"/>
              </w:rPr>
              <w:t>建立有《内部审核控制程序》，规定了内审频次一年一次，内审时间：</w:t>
            </w:r>
            <w:r>
              <w:rPr>
                <w:rFonts w:hint="eastAsia" w:ascii="宋体" w:hAnsi="宋体" w:eastAsia="宋体" w:cs="Times New Roman"/>
                <w:sz w:val="21"/>
                <w:szCs w:val="21"/>
                <w:highlight w:val="none"/>
              </w:rPr>
              <w:t>202</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年</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rPr>
              <w:t>月</w:t>
            </w:r>
            <w:r>
              <w:rPr>
                <w:rFonts w:hint="eastAsia" w:ascii="宋体" w:hAnsi="宋体" w:cs="Times New Roman"/>
                <w:sz w:val="21"/>
                <w:szCs w:val="21"/>
                <w:highlight w:val="none"/>
                <w:lang w:val="en-US" w:eastAsia="zh-CN"/>
              </w:rPr>
              <w:t>19</w:t>
            </w:r>
            <w:r>
              <w:rPr>
                <w:rFonts w:hint="eastAsia" w:ascii="宋体" w:hAnsi="宋体" w:eastAsia="宋体" w:cs="Times New Roman"/>
                <w:sz w:val="21"/>
                <w:szCs w:val="21"/>
                <w:highlight w:val="none"/>
              </w:rPr>
              <w:t>日</w:t>
            </w:r>
            <w:r>
              <w:rPr>
                <w:rFonts w:hint="eastAsia" w:ascii="宋体" w:hAnsi="宋体" w:cs="Times New Roman"/>
                <w:sz w:val="21"/>
                <w:szCs w:val="21"/>
                <w:highlight w:val="none"/>
                <w:lang w:val="en-US" w:eastAsia="zh-CN"/>
              </w:rPr>
              <w:t>-20日</w:t>
            </w:r>
            <w:r>
              <w:rPr>
                <w:rFonts w:hint="eastAsia" w:ascii="宋体" w:hAnsi="宋体"/>
                <w:sz w:val="21"/>
                <w:szCs w:val="21"/>
              </w:rPr>
              <w:t>，拟定了审核实施表，明确了内审范围，内审人员经培训合格上岗，能力满足要求，未出现审核本部门情况，内审不符合项</w:t>
            </w:r>
            <w:r>
              <w:rPr>
                <w:rFonts w:hint="eastAsia" w:ascii="宋体" w:hAnsi="宋体"/>
                <w:sz w:val="21"/>
                <w:szCs w:val="21"/>
                <w:lang w:val="en-US" w:eastAsia="zh-CN"/>
              </w:rPr>
              <w:t>1</w:t>
            </w:r>
            <w:r>
              <w:rPr>
                <w:rFonts w:hint="eastAsia" w:ascii="宋体" w:hAnsi="宋体"/>
                <w:sz w:val="21"/>
                <w:szCs w:val="21"/>
              </w:rPr>
              <w:t>项，</w:t>
            </w:r>
            <w:r>
              <w:rPr>
                <w:rFonts w:hint="eastAsia" w:ascii="宋体" w:hAnsi="宋体" w:eastAsia="宋体" w:cs="Times New Roman"/>
                <w:sz w:val="21"/>
                <w:szCs w:val="21"/>
                <w:highlight w:val="none"/>
              </w:rPr>
              <w:t>涉及</w:t>
            </w:r>
            <w:r>
              <w:rPr>
                <w:rFonts w:hint="eastAsia" w:ascii="宋体" w:hAnsi="宋体" w:cs="Times New Roman"/>
                <w:sz w:val="21"/>
                <w:szCs w:val="21"/>
                <w:highlight w:val="none"/>
                <w:lang w:val="en-US" w:eastAsia="zh-CN"/>
              </w:rPr>
              <w:t>综合部</w:t>
            </w:r>
            <w:r>
              <w:rPr>
                <w:rFonts w:hint="eastAsia" w:ascii="宋体" w:hAnsi="宋体" w:eastAsia="宋体" w:cs="Times New Roman"/>
                <w:sz w:val="21"/>
                <w:szCs w:val="21"/>
                <w:highlight w:val="none"/>
              </w:rPr>
              <w:t>7.</w:t>
            </w:r>
            <w:r>
              <w:rPr>
                <w:rFonts w:hint="eastAsia" w:ascii="宋体" w:hAnsi="宋体" w:eastAsia="宋体" w:cs="Times New Roman"/>
                <w:sz w:val="21"/>
                <w:szCs w:val="21"/>
                <w:highlight w:val="none"/>
                <w:lang w:val="en-US" w:eastAsia="zh-CN"/>
              </w:rPr>
              <w:t>2</w:t>
            </w:r>
            <w:r>
              <w:rPr>
                <w:rFonts w:hint="eastAsia" w:ascii="宋体" w:hAnsi="宋体" w:eastAsia="宋体" w:cs="Times New Roman"/>
                <w:sz w:val="21"/>
                <w:szCs w:val="21"/>
                <w:highlight w:val="none"/>
              </w:rPr>
              <w:t>条款，不符合事实描述“</w:t>
            </w:r>
            <w:r>
              <w:rPr>
                <w:rFonts w:hint="eastAsia" w:ascii="宋体" w:hAnsi="宋体" w:eastAsia="宋体" w:cs="Times New Roman"/>
                <w:sz w:val="21"/>
                <w:szCs w:val="21"/>
                <w:highlight w:val="none"/>
                <w:lang w:eastAsia="zh-CN"/>
              </w:rPr>
              <w:t>202</w:t>
            </w:r>
            <w:r>
              <w:rPr>
                <w:rFonts w:hint="eastAsia" w:ascii="宋体" w:hAnsi="宋体" w:eastAsia="宋体" w:cs="Times New Roman"/>
                <w:sz w:val="21"/>
                <w:szCs w:val="21"/>
                <w:highlight w:val="none"/>
                <w:lang w:val="en-US" w:eastAsia="zh-CN"/>
              </w:rPr>
              <w:t>0</w:t>
            </w:r>
            <w:r>
              <w:rPr>
                <w:rFonts w:hint="eastAsia" w:ascii="宋体" w:hAnsi="宋体" w:eastAsia="宋体" w:cs="Times New Roman"/>
                <w:sz w:val="21"/>
                <w:szCs w:val="21"/>
                <w:highlight w:val="none"/>
              </w:rPr>
              <w:t>年</w:t>
            </w:r>
            <w:r>
              <w:rPr>
                <w:rFonts w:hint="eastAsia" w:ascii="宋体" w:hAnsi="宋体" w:eastAsia="宋体" w:cs="Times New Roman"/>
                <w:sz w:val="21"/>
                <w:szCs w:val="21"/>
                <w:highlight w:val="none"/>
                <w:lang w:val="en-US" w:eastAsia="zh-CN"/>
              </w:rPr>
              <w:t>12</w:t>
            </w:r>
            <w:r>
              <w:rPr>
                <w:rFonts w:hint="eastAsia" w:ascii="宋体" w:hAnsi="宋体" w:eastAsia="宋体" w:cs="Times New Roman"/>
                <w:sz w:val="21"/>
                <w:szCs w:val="21"/>
                <w:highlight w:val="none"/>
              </w:rPr>
              <w:t>月未对新员工培训进行记录”</w:t>
            </w:r>
            <w:r>
              <w:rPr>
                <w:rFonts w:hint="eastAsia" w:ascii="宋体" w:hAnsi="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管理评审频次为一年一次、本次管理评审于</w:t>
            </w:r>
            <w:r>
              <w:rPr>
                <w:rFonts w:hint="eastAsia" w:ascii="宋体" w:hAnsi="宋体"/>
                <w:sz w:val="21"/>
                <w:szCs w:val="21"/>
              </w:rPr>
              <w:t>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29</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hint="eastAsia"/>
                <w:b/>
                <w:color w:val="000000" w:themeColor="text1"/>
                <w:sz w:val="21"/>
                <w:szCs w:val="21"/>
                <w:lang w:val="en-US" w:eastAsia="zh-CN"/>
              </w:rPr>
            </w:pPr>
            <w:r>
              <w:rPr>
                <w:rFonts w:hint="eastAsia"/>
                <w:b/>
                <w:color w:val="000000" w:themeColor="text1"/>
                <w:sz w:val="21"/>
                <w:szCs w:val="21"/>
              </w:rPr>
              <w:t>9. 其他能够标明组织绩效、信誉的证据/信息：</w:t>
            </w:r>
            <w:r>
              <w:rPr>
                <w:rFonts w:hint="eastAsia"/>
                <w:b/>
                <w:color w:val="000000" w:themeColor="text1"/>
                <w:sz w:val="21"/>
                <w:szCs w:val="21"/>
                <w:lang w:val="en-US" w:eastAsia="zh-CN"/>
              </w:rPr>
              <w:t xml:space="preserve"> </w:t>
            </w:r>
          </w:p>
          <w:p>
            <w:pPr>
              <w:widowControl/>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jc w:val="lef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b/>
                <w:bCs/>
                <w:sz w:val="21"/>
                <w:szCs w:val="21"/>
              </w:rPr>
            </w:pPr>
            <w:r>
              <w:rPr>
                <w:rFonts w:hint="eastAsia"/>
                <w:b/>
                <w:bCs/>
                <w:sz w:val="21"/>
                <w:szCs w:val="21"/>
              </w:rPr>
              <w:t>创新情况</w:t>
            </w:r>
          </w:p>
          <w:p>
            <w:pPr>
              <w:pStyle w:val="2"/>
              <w:numPr>
                <w:ilvl w:val="0"/>
                <w:numId w:val="0"/>
              </w:numPr>
              <w:rPr>
                <w:rFonts w:hint="eastAsia" w:eastAsia="宋体"/>
                <w:sz w:val="21"/>
                <w:szCs w:val="21"/>
                <w:lang w:val="en-US" w:eastAsia="zh-CN"/>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b/>
                <w:bCs/>
                <w:sz w:val="21"/>
                <w:szCs w:val="21"/>
              </w:rPr>
            </w:pPr>
            <w:r>
              <w:rPr>
                <w:rFonts w:hint="eastAsia"/>
                <w:b/>
                <w:bCs/>
                <w:sz w:val="21"/>
                <w:szCs w:val="21"/>
              </w:rPr>
              <w:t>上</w:t>
            </w:r>
            <w:r>
              <w:rPr>
                <w:rFonts w:hint="eastAsia"/>
                <w:b/>
                <w:bCs/>
                <w:sz w:val="21"/>
                <w:szCs w:val="21"/>
                <w:highlight w:val="none"/>
              </w:rPr>
              <w:t>次不符合的整改情况</w:t>
            </w:r>
          </w:p>
          <w:p>
            <w:pPr>
              <w:pStyle w:val="2"/>
              <w:numPr>
                <w:ilvl w:val="0"/>
                <w:numId w:val="0"/>
              </w:numPr>
              <w:ind w:leftChars="0"/>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eastAsia="宋体" w:cs="Times New Roman"/>
          <w:b/>
          <w:szCs w:val="21"/>
          <w:highlight w:val="none"/>
        </w:rPr>
        <w:t>本次审核共开具不符合项报告</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项；其中</w:t>
      </w:r>
      <w:r>
        <w:rPr>
          <w:rFonts w:hint="eastAsia" w:ascii="宋体" w:hAnsi="宋体" w:eastAsia="宋体" w:cs="Times New Roman"/>
          <w:b/>
          <w:szCs w:val="21"/>
          <w:highlight w:val="none"/>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eastAsia="宋体" w:cs="Times New Roman"/>
          <w:b/>
          <w:szCs w:val="21"/>
          <w:highlight w:val="none"/>
        </w:rPr>
        <w:t>严重不符合</w:t>
      </w:r>
      <w:r>
        <w:rPr>
          <w:rFonts w:hint="eastAsia" w:ascii="宋体" w:hAnsi="宋体" w:eastAsia="宋体" w:cs="Times New Roman"/>
          <w:b/>
          <w:szCs w:val="21"/>
          <w:highlight w:val="none"/>
          <w:lang w:val="en-US" w:eastAsia="zh-CN"/>
        </w:rPr>
        <w:t>0</w:t>
      </w:r>
      <w:r>
        <w:rPr>
          <w:rFonts w:hint="eastAsia" w:ascii="宋体" w:hAnsi="宋体" w:eastAsia="宋体" w:cs="Times New Roman"/>
          <w:b/>
          <w:szCs w:val="21"/>
          <w:highlight w:val="none"/>
        </w:rPr>
        <w:t>项，一般不符合</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项，观察项</w:t>
      </w:r>
      <w:r>
        <w:rPr>
          <w:rFonts w:hint="eastAsia" w:ascii="宋体" w:hAnsi="宋体" w:eastAsia="宋体" w:cs="Times New Roman"/>
          <w:b/>
          <w:szCs w:val="21"/>
          <w:highlight w:val="none"/>
          <w:lang w:val="en-US" w:eastAsia="zh-CN"/>
        </w:rPr>
        <w:t>0</w:t>
      </w:r>
      <w:r>
        <w:rPr>
          <w:rFonts w:hint="eastAsia" w:ascii="宋体" w:hAnsi="宋体" w:eastAsia="宋体" w:cs="Times New Roman"/>
          <w:b/>
          <w:szCs w:val="21"/>
          <w:highlight w:val="none"/>
        </w:rPr>
        <w:t>项分布在运输部部门</w:t>
      </w:r>
      <w:r>
        <w:rPr>
          <w:rFonts w:hint="eastAsia" w:ascii="宋体" w:hAnsi="宋体" w:eastAsia="宋体" w:cs="Times New Roman"/>
          <w:b/>
          <w:szCs w:val="21"/>
          <w:highlight w:val="none"/>
          <w:lang w:val="en-US" w:eastAsia="zh-CN"/>
        </w:rPr>
        <w:t>8.5.1</w:t>
      </w:r>
      <w:r>
        <w:rPr>
          <w:rFonts w:hint="eastAsia" w:ascii="宋体" w:hAnsi="宋体" w:eastAsia="宋体" w:cs="Times New Roman"/>
          <w:b/>
          <w:szCs w:val="21"/>
          <w:highlight w:val="none"/>
        </w:rPr>
        <w:t>条款，见不符合项分布表。（Q/J/E/S分开</w:t>
      </w:r>
      <w:r>
        <w:rPr>
          <w:rFonts w:hint="eastAsia" w:ascii="宋体" w:hAnsi="宋体"/>
          <w:b/>
          <w:szCs w:val="21"/>
          <w:highlight w:val="none"/>
        </w:rPr>
        <w:t>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w:t>
            </w:r>
            <w:r>
              <w:rPr>
                <w:rFonts w:hint="eastAsia" w:ascii="宋体" w:hAnsi="宋体"/>
                <w:b/>
                <w:szCs w:val="21"/>
                <w:lang w:val="en-US" w:eastAsia="zh-CN"/>
              </w:rPr>
              <w:t>认证注册</w:t>
            </w:r>
            <w:r>
              <w:rPr>
                <w:rFonts w:hint="eastAsia" w:ascii="宋体" w:hAnsi="宋体"/>
                <w:b/>
                <w:szCs w:val="21"/>
              </w:rPr>
              <w:t>（</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lang w:val="en-US" w:eastAsia="zh-CN"/>
        </w:rPr>
        <w:t xml:space="preserve"> </w:t>
      </w:r>
      <w:r>
        <w:rPr>
          <w:rFonts w:hint="eastAsia"/>
          <w:b/>
          <w:sz w:val="21"/>
          <w:u w:val="single"/>
          <w:lang w:val="en-US" w:eastAsia="zh-CN"/>
        </w:rPr>
        <w:t xml:space="preserve"> 60 </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default" w:ascii="Times New Roman" w:hAnsi="Times New Roman" w:eastAsia="宋体" w:cs="Times New Roman"/>
          <w:b/>
          <w:sz w:val="26"/>
          <w:szCs w:val="26"/>
          <w:highlight w:val="yellow"/>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highlight w:val="none"/>
          <w:lang w:val="en-US" w:eastAsia="zh-CN"/>
        </w:rPr>
        <w:t>本次</w:t>
      </w:r>
      <w:r>
        <w:rPr>
          <w:rFonts w:hint="eastAsia" w:ascii="Times New Roman" w:hAnsi="Times New Roman" w:eastAsia="宋体" w:cs="Times New Roman"/>
          <w:b/>
          <w:sz w:val="26"/>
          <w:szCs w:val="26"/>
          <w:highlight w:val="none"/>
          <w:lang w:val="en-US" w:eastAsia="zh-CN"/>
        </w:rPr>
        <w:t>审核为补充审核，只审核了运输部。</w:t>
      </w:r>
    </w:p>
    <w:p>
      <w:pPr>
        <w:snapToGrid w:val="0"/>
        <w:spacing w:line="360" w:lineRule="exact"/>
        <w:rPr>
          <w:b/>
          <w:bCs/>
          <w:sz w:val="21"/>
          <w:szCs w:val="28"/>
        </w:rPr>
      </w:pPr>
    </w:p>
    <w:p>
      <w:pPr>
        <w:tabs>
          <w:tab w:val="left" w:pos="645"/>
        </w:tabs>
        <w:spacing w:after="163" w:afterLines="50" w:line="360" w:lineRule="exact"/>
        <w:rPr>
          <w:b/>
          <w:sz w:val="16"/>
          <w:szCs w:val="16"/>
        </w:rPr>
      </w:pPr>
      <w:r>
        <w:rPr>
          <w:sz w:val="24"/>
        </w:rPr>
        <w:drawing>
          <wp:anchor distT="0" distB="0" distL="114300" distR="114300" simplePos="0" relativeHeight="251768832" behindDoc="1" locked="0" layoutInCell="1" allowOverlap="1">
            <wp:simplePos x="0" y="0"/>
            <wp:positionH relativeFrom="column">
              <wp:posOffset>1834515</wp:posOffset>
            </wp:positionH>
            <wp:positionV relativeFrom="paragraph">
              <wp:posOffset>227965</wp:posOffset>
            </wp:positionV>
            <wp:extent cx="590550" cy="426720"/>
            <wp:effectExtent l="0" t="0" r="6350" b="508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6"/>
                    <a:stretch>
                      <a:fillRect/>
                    </a:stretch>
                  </pic:blipFill>
                  <pic:spPr>
                    <a:xfrm>
                      <a:off x="0" y="0"/>
                      <a:ext cx="590550" cy="42672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42" w:firstLineChars="300"/>
        <w:rPr>
          <w:b/>
          <w:sz w:val="21"/>
        </w:rPr>
      </w:pPr>
      <w:r>
        <w:rPr>
          <w:rFonts w:ascii="宋体"/>
          <w:b/>
          <w:sz w:val="18"/>
          <w:szCs w:val="18"/>
        </w:rPr>
        <w:drawing>
          <wp:anchor distT="0" distB="0" distL="114300" distR="114300" simplePos="0" relativeHeight="251769856" behindDoc="1" locked="0" layoutInCell="1" allowOverlap="1">
            <wp:simplePos x="0" y="0"/>
            <wp:positionH relativeFrom="column">
              <wp:posOffset>1732915</wp:posOffset>
            </wp:positionH>
            <wp:positionV relativeFrom="paragraph">
              <wp:posOffset>9525</wp:posOffset>
            </wp:positionV>
            <wp:extent cx="655955" cy="603885"/>
            <wp:effectExtent l="0" t="0" r="4445" b="571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tretch>
                      <a:fillRect/>
                    </a:stretch>
                  </pic:blipFill>
                  <pic:spPr>
                    <a:xfrm>
                      <a:off x="0" y="0"/>
                      <a:ext cx="655955" cy="60388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b/>
          <w:sz w:val="20"/>
        </w:rPr>
        <w:t>2021年07月16日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yellow"/>
        </w:rPr>
      </w:pPr>
      <w:r>
        <w:rPr>
          <w:b/>
          <w:bCs/>
          <w:sz w:val="21"/>
          <w:szCs w:val="21"/>
        </w:rPr>
        <w:t>1.</w:t>
      </w:r>
      <w:r>
        <w:rPr>
          <w:rFonts w:hint="eastAsia"/>
          <w:b/>
          <w:bCs/>
          <w:sz w:val="21"/>
          <w:szCs w:val="21"/>
        </w:rPr>
        <w:t>审</w:t>
      </w:r>
      <w:r>
        <w:rPr>
          <w:rFonts w:hint="eastAsia"/>
          <w:b/>
          <w:bCs/>
          <w:sz w:val="21"/>
          <w:szCs w:val="21"/>
          <w:highlight w:val="none"/>
        </w:rPr>
        <w:t>核中发现的</w:t>
      </w:r>
      <w:r>
        <w:rPr>
          <w:rFonts w:hint="eastAsia"/>
          <w:b/>
          <w:sz w:val="21"/>
          <w:szCs w:val="21"/>
          <w:highlight w:val="none"/>
        </w:rPr>
        <w:sym w:font="Wingdings 2" w:char="0052"/>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rPr>
        <w:sym w:font="Wingdings 2" w:char="0052"/>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w:t>
      </w:r>
      <w:r>
        <w:rPr>
          <w:b/>
          <w:sz w:val="21"/>
          <w:szCs w:val="21"/>
        </w:rPr>
        <w:t>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w:t>
      </w:r>
      <w:r>
        <w:rPr>
          <w:rFonts w:hint="eastAsia"/>
          <w:b/>
          <w:sz w:val="21"/>
          <w:szCs w:val="21"/>
          <w:lang w:val="en-US" w:eastAsia="zh-CN"/>
        </w:rPr>
        <w:t>推荐</w:t>
      </w:r>
      <w:r>
        <w:rPr>
          <w:rFonts w:hint="eastAsia"/>
          <w:b/>
          <w:sz w:val="21"/>
          <w:szCs w:val="21"/>
        </w:rPr>
        <w:t>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rPr>
          <w:sz w:val="24"/>
        </w:rPr>
        <w:drawing>
          <wp:anchor distT="0" distB="0" distL="114300" distR="114300" simplePos="0" relativeHeight="251714560" behindDoc="0" locked="0" layoutInCell="1" allowOverlap="1">
            <wp:simplePos x="0" y="0"/>
            <wp:positionH relativeFrom="column">
              <wp:posOffset>1272540</wp:posOffset>
            </wp:positionH>
            <wp:positionV relativeFrom="paragraph">
              <wp:posOffset>27305</wp:posOffset>
            </wp:positionV>
            <wp:extent cx="590550" cy="426720"/>
            <wp:effectExtent l="0" t="0" r="6350" b="508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6"/>
                    <a:stretch>
                      <a:fillRect/>
                    </a:stretch>
                  </pic:blipFill>
                  <pic:spPr>
                    <a:xfrm>
                      <a:off x="0" y="0"/>
                      <a:ext cx="590550" cy="42672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Lucida Sans">
    <w:altName w:val="Lucida Sans Unicode"/>
    <w:panose1 w:val="020B0602030504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7AE33"/>
    <w:multiLevelType w:val="singleLevel"/>
    <w:tmpl w:val="2017AE33"/>
    <w:lvl w:ilvl="0" w:tentative="0">
      <w:start w:val="3"/>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5B3EE0"/>
    <w:rsid w:val="09B7372D"/>
    <w:rsid w:val="15727990"/>
    <w:rsid w:val="15D675C5"/>
    <w:rsid w:val="19A02715"/>
    <w:rsid w:val="1C710CED"/>
    <w:rsid w:val="344B3900"/>
    <w:rsid w:val="37973D53"/>
    <w:rsid w:val="37C04644"/>
    <w:rsid w:val="3B47511B"/>
    <w:rsid w:val="42F26E2B"/>
    <w:rsid w:val="446468DD"/>
    <w:rsid w:val="451B3638"/>
    <w:rsid w:val="47E601AF"/>
    <w:rsid w:val="68125513"/>
    <w:rsid w:val="75C7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tiff"/><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2021-07-18T14:26:01Z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