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38"/>
        <w:gridCol w:w="203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74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北京懋润咨询有限公司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34.06.00,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37.05.04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7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荆伟峰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37.05.04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李京田、李雅静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1、计算机技术培训：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签订合同-培训方案的确定-采购收集培训所需物资、材料-培训实施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2、技术转让：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签订合同-准备技术转让相关材料-顾客验收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4、企业管理咨询：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签订合同-培训方案的确定-采购收集培训所需物资、材料-培训实施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教育服务实施的基本流程：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确定教育任务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教学设计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教育实施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教育效果评价等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教育服务过程控制要点：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教育、教学过程的控制重点是教育设计（策划）、教育实施过程、教育效果评价。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）教育设计：根据设计的要求不同，教育设计可分为宏观、中观、微观设计三个层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次进行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宏观教育设计，是同国家教育主管部门根据国家和社会发展要求，对教育培养的目标、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规格、层次、专业方向等进行的设计，其设计输出往往表面为国家提出的学校设计要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求、高等教育专业设置目录、培养要求等，对这一层次的教育设计，因其由体现国家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意志的教育主管部门负责实施。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经营和管理咨询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、经营和管理咨询服务过程主要包括三个部分。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）咨询洽谈阶段。主要有：了解企业情况，明确企业咨询目标，决定咨询课题。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）咨询准备阶段。主要有：组建咨询小组，进行相关的培训，收集相关资料和填写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相关的调查问卷等。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）咨询阶段：重点情况的了解；列出重要问题，拟订改进防案；讨论方案；确定方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案；提交方案，征求意见；改进方案；撰写项目报告书，召开咨询报告会；跟踪咨询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结果等。 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独立学院设置与管理办法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民办高等学校办学管理若干规定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国家教育考试违规处理办法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普通高等学校学生管理实施教育行政许可若干规定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中小学德育工作规程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中华人民共和国未成年人保护法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中华人民共和国义务教育法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中华人民共和国民办教育促进法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中华人民共和国高等教育法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中华人民共和国职业教育法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中华人民共和国老师法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中华人民共和国学位条例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中华人民共和国预防未成年人犯罪法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74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92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荆伟峰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AC27EA"/>
    <w:rsid w:val="739D274C"/>
    <w:rsid w:val="7C1C6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djustRightInd w:val="0"/>
      <w:spacing w:line="360" w:lineRule="atLeast"/>
      <w:textAlignment w:val="baseline"/>
    </w:pPr>
    <w:rPr>
      <w:color w:val="33CCCC"/>
      <w:kern w:val="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2021-07-27T12:04:02Z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519678164DDD4C84AD1709369DCC84E2</vt:lpwstr>
  </property>
</Properties>
</file>