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四川佳鑫家具有限公司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程佳梨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126365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137795</wp:posOffset>
                  </wp:positionV>
                  <wp:extent cx="961390" cy="326390"/>
                  <wp:effectExtent l="0" t="0" r="13970" b="889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日期：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787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2021-07-16T06:44:18Z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E3D21D9592014F9AB6CB092C73B0D318</vt:lpwstr>
  </property>
</Properties>
</file>