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u w:val="none"/>
        </w:rPr>
      </w:pPr>
      <w:bookmarkStart w:id="0" w:name="合同编号"/>
      <w:r>
        <w:rPr>
          <w:rFonts w:hint="eastAsia"/>
          <w:b/>
          <w:bCs/>
          <w:sz w:val="24"/>
          <w:szCs w:val="24"/>
          <w:u w:val="none"/>
          <w:lang w:val="en-US" w:eastAsia="zh-CN"/>
        </w:rPr>
        <w:t>编号：</w:t>
      </w:r>
      <w:r>
        <w:rPr>
          <w:b/>
          <w:bCs/>
          <w:sz w:val="24"/>
          <w:szCs w:val="24"/>
          <w:u w:val="none"/>
        </w:rPr>
        <w:t>0736-2021-QEO</w:t>
      </w:r>
      <w:bookmarkEnd w:id="0"/>
      <w:r>
        <w:rPr>
          <w:rFonts w:hint="eastAsia" w:ascii="宋体" w:hAnsi="宋体"/>
          <w:b/>
          <w:bCs/>
          <w:kern w:val="0"/>
          <w:sz w:val="24"/>
          <w:szCs w:val="24"/>
          <w:u w:val="none"/>
        </w:rPr>
        <w:t xml:space="preserve">  </w:t>
      </w: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四川佳鑫家具有限公司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p>
    <w:p>
      <w:pPr>
        <w:pStyle w:val="12"/>
        <w:numPr>
          <w:ilvl w:val="0"/>
          <w:numId w:val="1"/>
        </w:numPr>
        <w:ind w:left="-142" w:hanging="709" w:firstLineChars="0"/>
        <w:rPr>
          <w:rFonts w:hint="eastAsia" w:ascii="宋体" w:hAnsi="宋体" w:eastAsia="宋体" w:cs="Times New Roman"/>
          <w:b/>
          <w:color w:val="000000" w:themeColor="text1"/>
          <w:sz w:val="26"/>
          <w:szCs w:val="26"/>
        </w:rPr>
      </w:pPr>
      <w:r>
        <w:rPr>
          <w:rFonts w:hint="eastAsia" w:ascii="宋体" w:hAnsi="宋体" w:eastAsia="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四川佳鑫家具有限公司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成都市青羊区日月大道一段978号3栋1单元7层730号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成都市郫都区郫筒镇郫华路299号1栋1单元11层20号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程佳梨</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18990420000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程佳梨</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程佳梨</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杨娟</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2021-01-11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b/>
                <w:color w:val="000000" w:themeColor="text1"/>
                <w:sz w:val="20"/>
                <w:szCs w:val="20"/>
                <w:lang w:val="en-US"/>
              </w:rPr>
            </w:pPr>
            <w:r>
              <w:rPr>
                <w:rFonts w:hint="eastAsia" w:ascii="宋体" w:hAnsi="宋体"/>
                <w:b/>
                <w:color w:val="000000" w:themeColor="text1"/>
                <w:sz w:val="20"/>
                <w:szCs w:val="20"/>
                <w:lang w:val="en-US"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eastAsia="宋体"/>
                <w:b/>
                <w:color w:val="000000" w:themeColor="text1"/>
                <w:sz w:val="20"/>
                <w:szCs w:val="20"/>
                <w:lang w:eastAsia="zh-CN"/>
              </w:rPr>
              <w:t>市场部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left"/>
              <w:rPr>
                <w:rFonts w:hint="eastAsia"/>
                <w:color w:val="000000"/>
                <w:lang w:eastAsia="zh-CN"/>
              </w:rPr>
            </w:pPr>
            <w:r>
              <w:rPr>
                <w:rFonts w:hint="eastAsia" w:ascii="宋体" w:hAnsi="宋体"/>
                <w:b/>
                <w:color w:val="000000" w:themeColor="text1"/>
                <w:spacing w:val="-2"/>
                <w:sz w:val="20"/>
                <w:szCs w:val="20"/>
                <w:lang w:eastAsia="zh-CN"/>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p>
        </w:tc>
        <w:tc>
          <w:tcPr>
            <w:tcW w:w="3249" w:type="dxa"/>
          </w:tcPr>
          <w:p>
            <w:pPr>
              <w:jc w:val="left"/>
              <w:rPr>
                <w:rFonts w:hint="eastAsia"/>
                <w:color w:val="000000"/>
                <w:lang w:eastAsia="zh-CN"/>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ascii="宋体" w:hAnsi="宋体"/>
                <w:szCs w:val="21"/>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pStyle w:val="3"/>
              <w:keepNext w:val="0"/>
              <w:keepLines w:val="0"/>
              <w:widowControl/>
              <w:suppressLineNumbers w:val="0"/>
              <w:shd w:val="clear" w:color="auto" w:fill="FFFFFF"/>
              <w:ind w:left="0" w:firstLine="0"/>
              <w:rPr>
                <w:rFonts w:hint="default" w:ascii="宋体" w:hAnsi="宋体" w:eastAsia="宋体" w:cs="Times New Roman"/>
                <w:b w:val="0"/>
                <w:bCs w:val="0"/>
                <w:kern w:val="2"/>
                <w:sz w:val="21"/>
                <w:szCs w:val="21"/>
                <w:highlight w:val="none"/>
                <w:lang w:val="en-US" w:eastAsia="zh-CN" w:bidi="ar-SA"/>
              </w:rPr>
            </w:pPr>
            <w:r>
              <w:rPr>
                <w:rFonts w:hint="eastAsia" w:ascii="宋体" w:hAnsi="宋体" w:eastAsia="宋体" w:cs="Times New Roman"/>
                <w:b w:val="0"/>
                <w:bCs w:val="0"/>
                <w:kern w:val="2"/>
                <w:sz w:val="21"/>
                <w:szCs w:val="21"/>
                <w:highlight w:val="none"/>
                <w:lang w:val="en-US" w:eastAsia="zh-CN" w:bidi="ar-SA"/>
              </w:rPr>
              <w:t>家具力学性能试验 椅、凳类稳定性GB/T 10357.2-1989、家具力学性能试验 椅、凳类强度和耐久性GB/T 10357.3-1989、家具 桌、椅、凳类主要尺寸GB/T 3326-1997合同协议等。</w:t>
            </w:r>
          </w:p>
          <w:p>
            <w:pPr>
              <w:wordWrap w:val="0"/>
              <w:overflowPunct w:val="0"/>
              <w:autoSpaceDE w:val="0"/>
              <w:autoSpaceDN w:val="0"/>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w:t>
      </w:r>
      <w:r>
        <w:rPr>
          <w:rFonts w:hint="eastAsia"/>
          <w:b/>
          <w:color w:val="000000" w:themeColor="text1"/>
          <w:spacing w:val="-10"/>
          <w:szCs w:val="21"/>
          <w:lang w:val="en-US" w:eastAsia="zh-CN"/>
        </w:rPr>
        <w:t>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日至202</w:t>
      </w:r>
      <w:r>
        <w:rPr>
          <w:rFonts w:hint="eastAsia"/>
          <w:b/>
          <w:color w:val="000000" w:themeColor="text1"/>
          <w:spacing w:val="-10"/>
          <w:szCs w:val="21"/>
          <w:lang w:val="en-US" w:eastAsia="zh-CN"/>
        </w:rPr>
        <w:t>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Cs w:val="21"/>
              </w:rPr>
            </w:pPr>
            <w:r>
              <w:rPr>
                <w:rFonts w:ascii="宋体" w:hAnsi="宋体"/>
                <w:b/>
                <w:szCs w:val="21"/>
              </w:rPr>
              <w:t>1</w:t>
            </w:r>
            <w:r>
              <w:rPr>
                <w:rFonts w:hint="eastAsia" w:ascii="宋体" w:hAnsi="宋体"/>
                <w:b/>
                <w:szCs w:val="21"/>
              </w:rPr>
              <w:t>、组织及其环境的识别情况</w:t>
            </w:r>
          </w:p>
          <w:p>
            <w:pPr>
              <w:rPr>
                <w:rFonts w:hint="eastAsia"/>
                <w:szCs w:val="21"/>
              </w:rPr>
            </w:pPr>
            <w:r>
              <w:rPr>
                <w:rFonts w:hint="eastAsia" w:ascii="宋体" w:hAnsi="宋体" w:cs="宋体"/>
                <w:b w:val="0"/>
                <w:bCs w:val="0"/>
                <w:sz w:val="24"/>
                <w:szCs w:val="24"/>
                <w:lang w:val="en-US" w:eastAsia="zh-CN"/>
              </w:rPr>
              <w:t xml:space="preserve"> </w:t>
            </w:r>
            <w:r>
              <w:rPr>
                <w:rFonts w:hint="eastAsia" w:ascii="宋体" w:hAnsi="宋体" w:eastAsia="宋体" w:cs="宋体"/>
                <w:bCs/>
                <w:szCs w:val="22"/>
                <w:lang w:eastAsia="zh-CN"/>
              </w:rPr>
              <w:t>四川佳鑫家具有限公司：成立于20</w:t>
            </w:r>
            <w:r>
              <w:rPr>
                <w:rFonts w:hint="eastAsia" w:ascii="宋体" w:hAnsi="宋体" w:eastAsia="宋体" w:cs="宋体"/>
                <w:bCs/>
                <w:szCs w:val="22"/>
                <w:lang w:val="en-US" w:eastAsia="zh-CN"/>
              </w:rPr>
              <w:t>12</w:t>
            </w:r>
            <w:r>
              <w:rPr>
                <w:rFonts w:hint="eastAsia" w:ascii="宋体" w:hAnsi="宋体" w:eastAsia="宋体" w:cs="宋体"/>
                <w:bCs/>
                <w:szCs w:val="22"/>
                <w:lang w:eastAsia="zh-CN"/>
              </w:rPr>
              <w:t>年，公司地址位于成都市青羊区日月大道一段978号3栋1单元7层730号。主要从事</w:t>
            </w:r>
            <w: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rFonts w:hint="eastAsia" w:ascii="宋体" w:hAnsi="宋体" w:eastAsia="宋体" w:cs="宋体"/>
                <w:bCs/>
                <w:szCs w:val="22"/>
                <w:lang w:eastAsia="zh-CN"/>
              </w:rPr>
              <w:t>，产品自销售以来得到用户一致好评。</w:t>
            </w:r>
            <w:r>
              <w:rPr>
                <w:rFonts w:hint="eastAsia"/>
                <w:szCs w:val="21"/>
              </w:rPr>
              <w:t>现有员工</w:t>
            </w:r>
            <w:r>
              <w:rPr>
                <w:rFonts w:hint="eastAsia"/>
                <w:szCs w:val="21"/>
                <w:lang w:val="en-US" w:eastAsia="zh-CN"/>
              </w:rPr>
              <w:t>15</w:t>
            </w:r>
            <w:r>
              <w:rPr>
                <w:rFonts w:hint="eastAsia"/>
                <w:szCs w:val="21"/>
              </w:rPr>
              <w:t>人，目前经营情况良好。</w:t>
            </w:r>
          </w:p>
          <w:p>
            <w:pPr>
              <w:spacing w:line="240" w:lineRule="auto"/>
              <w:jc w:val="left"/>
              <w:rPr>
                <w:rFonts w:hint="default" w:ascii="宋体" w:hAnsi="宋体" w:eastAsia="宋体"/>
                <w:b/>
                <w:szCs w:val="21"/>
                <w:lang w:val="en-US" w:eastAsia="zh-CN"/>
              </w:rPr>
            </w:pPr>
            <w:r>
              <w:rPr>
                <w:rFonts w:hint="eastAsia" w:ascii="宋体" w:hAnsi="宋体"/>
                <w:szCs w:val="21"/>
              </w:rPr>
              <w:t>组织对内外部因素、相关方需求和期望进行了充分的识别，策划和实施有效。</w:t>
            </w:r>
            <w:r>
              <w:rPr>
                <w:rFonts w:hint="eastAsia" w:ascii="Times New Roman" w:hAnsi="Times New Roman" w:eastAsia="宋体" w:cs="Times New Roman"/>
                <w:szCs w:val="21"/>
                <w:highlight w:val="none"/>
              </w:rPr>
              <w:t>公司的产品按客户要求及相关标准进行采购，整个销售过程不涉及设计开发的内容。8.3条款的不适用不影响组织提供满足顾客要求及法律法规要求</w:t>
            </w:r>
            <w:r>
              <w:rPr>
                <w:rFonts w:hint="eastAsia" w:cs="Times New Roman"/>
                <w:szCs w:val="21"/>
                <w:highlight w:val="none"/>
                <w:lang w:val="en-US" w:eastAsia="zh-CN"/>
              </w:rPr>
              <w:t>的</w:t>
            </w:r>
            <w:r>
              <w:rPr>
                <w:rFonts w:hint="eastAsia" w:ascii="Times New Roman" w:hAnsi="Times New Roman" w:eastAsia="宋体" w:cs="Times New Roman"/>
                <w:szCs w:val="21"/>
                <w:highlight w:val="none"/>
              </w:rPr>
              <w:t>产品。</w:t>
            </w:r>
            <w:r>
              <w:rPr>
                <w:rFonts w:hint="eastAsia" w:ascii="宋体" w:hAnsi="宋体"/>
                <w:szCs w:val="21"/>
              </w:rPr>
              <w:t>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ind w:firstLine="420" w:firstLineChars="200"/>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Cs w:val="21"/>
                <w:lang w:eastAsia="zh-CN"/>
              </w:rPr>
              <w:t>服务</w:t>
            </w:r>
            <w:r>
              <w:rPr>
                <w:rFonts w:hint="eastAsia" w:ascii="宋体" w:hAnsi="宋体" w:cs="宋体"/>
                <w:color w:val="000000"/>
                <w:szCs w:val="21"/>
              </w:rPr>
              <w:t>质量符合要求、</w:t>
            </w:r>
            <w:r>
              <w:rPr>
                <w:rFonts w:hint="eastAsia" w:ascii="宋体" w:hAnsi="宋体" w:cs="宋体"/>
                <w:color w:val="000000"/>
                <w:szCs w:val="21"/>
                <w:lang w:eastAsia="zh-CN"/>
              </w:rPr>
              <w:t>服务及时</w:t>
            </w:r>
            <w:r>
              <w:rPr>
                <w:rFonts w:hint="eastAsia" w:ascii="宋体" w:hAnsi="宋体" w:cs="宋体"/>
                <w:color w:val="000000"/>
                <w:szCs w:val="21"/>
              </w:rPr>
              <w:t>、价格合理等。对相关方的要求的监视和评审的方法多样，通过QQ和微信等现代通讯手段是常用的便捷而又高效主要方法。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4"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质量第一    精益求精    顾客至上    持续改进</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环境方针： 全员参与　　遵守法规　　预防为主　　持续改进。</w:t>
            </w:r>
          </w:p>
          <w:p>
            <w:pPr>
              <w:rPr>
                <w:rFonts w:ascii="宋体" w:hAnsi="宋体"/>
                <w:b/>
                <w:szCs w:val="21"/>
              </w:rPr>
            </w:pPr>
            <w:r>
              <w:rPr>
                <w:rFonts w:hint="eastAsia" w:asciiTheme="minorEastAsia" w:hAnsiTheme="minorEastAsia" w:eastAsiaTheme="minorEastAsia" w:cstheme="minorEastAsia"/>
                <w:szCs w:val="21"/>
              </w:rPr>
              <w:t>职业健康安全管理方针：安全第一    预防为主    遵守法规    确保安康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合同评审、服务管理过程。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其中关键过程有：服务过程。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hanging="211" w:hangingChars="100"/>
              <w:rPr>
                <w:rFonts w:hint="eastAsia" w:ascii="宋体" w:hAnsi="宋体" w:eastAsia="宋体"/>
                <w:b/>
                <w:szCs w:val="21"/>
                <w:lang w:eastAsia="zh-CN"/>
              </w:rPr>
            </w:pPr>
            <w:r>
              <w:rPr>
                <w:rFonts w:ascii="宋体" w:hAnsi="宋体"/>
                <w:b/>
                <w:szCs w:val="21"/>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Times New Roman" w:hAnsi="Times New Roman" w:eastAsia="宋体" w:cs="Times New Roman"/>
                <w:szCs w:val="21"/>
                <w:highlight w:val="none"/>
              </w:rPr>
              <w:t>公司的产品按客户要求及相关标准进行采购，整个销售过程不涉及设计开发的内容。8.3条款的不适用不影响组织提供满足顾客要求及法律法规要求</w:t>
            </w:r>
            <w:r>
              <w:rPr>
                <w:rFonts w:hint="eastAsia" w:cs="Times New Roman"/>
                <w:szCs w:val="21"/>
                <w:highlight w:val="none"/>
                <w:lang w:val="en-US" w:eastAsia="zh-CN"/>
              </w:rPr>
              <w:t>的</w:t>
            </w:r>
            <w:r>
              <w:rPr>
                <w:rFonts w:hint="eastAsia" w:ascii="Times New Roman" w:hAnsi="Times New Roman" w:eastAsia="宋体" w:cs="Times New Roman"/>
                <w:szCs w:val="21"/>
                <w:highlight w:val="none"/>
              </w:rPr>
              <w:t>产品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6. </w:t>
            </w:r>
            <w:r>
              <w:rPr>
                <w:rFonts w:hint="eastAsia" w:ascii="宋体" w:hAnsi="宋体"/>
                <w:b/>
                <w:color w:val="auto"/>
                <w:szCs w:val="21"/>
              </w:rPr>
              <w:t>■</w:t>
            </w:r>
            <w:r>
              <w:rPr>
                <w:rFonts w:ascii="宋体" w:hAnsi="宋体"/>
                <w:b/>
                <w:color w:val="auto"/>
                <w:szCs w:val="21"/>
              </w:rPr>
              <w:t>EMS</w:t>
            </w:r>
            <w:r>
              <w:rPr>
                <w:rFonts w:hint="eastAsia" w:ascii="宋体" w:hAnsi="宋体"/>
                <w:b/>
                <w:color w:val="auto"/>
                <w:szCs w:val="21"/>
              </w:rPr>
              <w:t>环境因素</w:t>
            </w:r>
          </w:p>
          <w:p>
            <w:pPr>
              <w:spacing w:line="300" w:lineRule="exact"/>
              <w:rPr>
                <w:rFonts w:ascii="宋体" w:hAnsi="宋体"/>
                <w:b/>
                <w:color w:val="auto"/>
                <w:szCs w:val="21"/>
              </w:rPr>
            </w:pPr>
            <w:r>
              <w:rPr>
                <w:rFonts w:hint="eastAsia" w:ascii="宋体" w:hAnsi="宋体"/>
                <w:b/>
                <w:color w:val="auto"/>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color w:val="auto"/>
                <w:szCs w:val="21"/>
              </w:rPr>
            </w:pPr>
            <w:r>
              <w:rPr>
                <w:rFonts w:hint="eastAsia" w:ascii="宋体" w:hAnsi="宋体" w:cs="宋体"/>
                <w:bCs/>
                <w:iCs/>
                <w:color w:val="auto"/>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Pr>
                <w:rFonts w:hint="eastAsia" w:ascii="宋体" w:hAnsi="宋体" w:cs="宋体"/>
                <w:color w:val="auto"/>
                <w:szCs w:val="21"/>
              </w:rPr>
              <w:t>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 xml:space="preserve">7. </w:t>
            </w:r>
            <w:r>
              <w:rPr>
                <w:rFonts w:hint="eastAsia" w:ascii="宋体" w:hAnsi="宋体"/>
                <w:b/>
                <w:color w:val="auto"/>
                <w:szCs w:val="21"/>
              </w:rPr>
              <w:t>■</w:t>
            </w:r>
            <w:r>
              <w:rPr>
                <w:rFonts w:ascii="宋体" w:hAnsi="宋体"/>
                <w:b/>
                <w:color w:val="auto"/>
                <w:szCs w:val="21"/>
              </w:rPr>
              <w:t>OHSMS</w:t>
            </w:r>
            <w:r>
              <w:rPr>
                <w:rFonts w:hint="eastAsia" w:ascii="宋体" w:hAnsi="宋体"/>
                <w:b/>
                <w:color w:val="auto"/>
                <w:szCs w:val="21"/>
              </w:rPr>
              <w:t>职业健康安全危险源</w:t>
            </w:r>
          </w:p>
          <w:p>
            <w:pPr>
              <w:spacing w:line="240" w:lineRule="exact"/>
              <w:rPr>
                <w:rFonts w:ascii="宋体" w:hAnsi="宋体"/>
                <w:b/>
                <w:color w:val="auto"/>
                <w:szCs w:val="21"/>
              </w:rPr>
            </w:pPr>
            <w:r>
              <w:rPr>
                <w:rFonts w:hint="eastAsia" w:ascii="宋体" w:hAnsi="宋体"/>
                <w:b/>
                <w:color w:val="auto"/>
                <w:szCs w:val="21"/>
              </w:rPr>
              <w:t>（职业健康安全危险源辨识是否充分、风险评价合理性，以及风险评价动态变更的及时性等）</w:t>
            </w:r>
          </w:p>
          <w:p>
            <w:pPr>
              <w:spacing w:line="240" w:lineRule="exact"/>
              <w:ind w:firstLine="210" w:firstLineChars="100"/>
              <w:rPr>
                <w:rFonts w:ascii="宋体" w:hAnsi="宋体"/>
                <w:b/>
                <w:color w:val="auto"/>
                <w:szCs w:val="21"/>
              </w:rPr>
            </w:pPr>
            <w:r>
              <w:rPr>
                <w:rFonts w:hint="eastAsia" w:ascii="宋体" w:hAnsi="宋体" w:cs="宋体"/>
                <w:color w:val="auto"/>
                <w:szCs w:val="21"/>
              </w:rPr>
              <w:t>组织建立了危险源识别、评价控制程序，识别评价了危险源、风险相关的过程，评价出了</w:t>
            </w:r>
            <w:r>
              <w:rPr>
                <w:rFonts w:hint="eastAsia" w:ascii="宋体" w:hAnsi="宋体" w:cs="宋体"/>
                <w:color w:val="auto"/>
                <w:szCs w:val="21"/>
                <w:lang w:eastAsia="zh-CN"/>
              </w:rPr>
              <w:t>火灾、触电等</w:t>
            </w:r>
            <w:r>
              <w:rPr>
                <w:rFonts w:hint="eastAsia" w:ascii="宋体" w:hAnsi="宋体" w:cs="宋体"/>
                <w:color w:val="auto"/>
                <w:szCs w:val="21"/>
              </w:rPr>
              <w:t>重要危险源，与之相关的过程有</w:t>
            </w:r>
            <w:r>
              <w:rPr>
                <w:rFonts w:hint="eastAsia" w:ascii="宋体" w:hAnsi="宋体" w:cs="宋体"/>
                <w:color w:val="auto"/>
                <w:szCs w:val="21"/>
                <w:lang w:eastAsia="zh-CN"/>
              </w:rPr>
              <w:t>采购</w:t>
            </w:r>
            <w:r>
              <w:rPr>
                <w:rFonts w:hint="eastAsia" w:ascii="宋体" w:hAnsi="宋体" w:cs="宋体"/>
                <w:color w:val="auto"/>
                <w:szCs w:val="21"/>
              </w:rPr>
              <w:t>、</w:t>
            </w:r>
            <w:r>
              <w:rPr>
                <w:rFonts w:hint="eastAsia" w:ascii="宋体" w:hAnsi="宋体" w:cs="宋体"/>
                <w:color w:val="auto"/>
                <w:szCs w:val="21"/>
                <w:lang w:eastAsia="zh-CN"/>
              </w:rPr>
              <w:t>销售</w:t>
            </w:r>
            <w:r>
              <w:rPr>
                <w:rFonts w:hint="eastAsia" w:ascii="宋体" w:hAnsi="宋体" w:cs="宋体"/>
                <w:color w:val="auto"/>
                <w:szCs w:val="21"/>
              </w:rPr>
              <w:t>、</w:t>
            </w:r>
            <w:r>
              <w:rPr>
                <w:rFonts w:hint="eastAsia" w:ascii="宋体" w:hAnsi="宋体" w:cs="宋体"/>
                <w:color w:val="auto"/>
                <w:szCs w:val="21"/>
                <w:lang w:val="en-US" w:eastAsia="zh-CN"/>
              </w:rPr>
              <w:t>售后服务</w:t>
            </w:r>
            <w:r>
              <w:rPr>
                <w:rFonts w:hint="eastAsia" w:ascii="宋体" w:hAnsi="宋体" w:cs="宋体"/>
                <w:color w:val="auto"/>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pPr>
            <w:r>
              <w:rPr>
                <w:rFonts w:hint="eastAsia"/>
              </w:rPr>
              <w:t>9</w:t>
            </w:r>
            <w:r>
              <w:t xml:space="preserve">. </w:t>
            </w:r>
            <w:r>
              <w:rPr>
                <w:rFonts w:hint="eastAsia"/>
              </w:rPr>
              <w:t>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tabs>
                <w:tab w:val="left" w:pos="3731"/>
              </w:tabs>
              <w:adjustRightInd w:val="0"/>
              <w:snapToGrid w:val="0"/>
              <w:spacing w:line="312" w:lineRule="auto"/>
              <w:rPr>
                <w:rFonts w:hint="eastAsia"/>
                <w:lang w:eastAsia="zh-CN"/>
              </w:rPr>
            </w:pPr>
            <w:r>
              <w:rPr>
                <w:rFonts w:hint="eastAsia"/>
              </w:rPr>
              <w:t>质量</w:t>
            </w:r>
            <w:r>
              <w:rPr>
                <w:rFonts w:hint="eastAsia"/>
                <w:lang w:eastAsia="zh-CN"/>
              </w:rPr>
              <w:t>、</w:t>
            </w:r>
            <w:r>
              <w:rPr>
                <w:rFonts w:hint="eastAsia"/>
              </w:rPr>
              <w:t>环境</w:t>
            </w:r>
            <w:r>
              <w:rPr>
                <w:rFonts w:hint="eastAsia"/>
                <w:lang w:eastAsia="zh-CN"/>
              </w:rPr>
              <w:t>、</w:t>
            </w:r>
            <w:r>
              <w:rPr>
                <w:rFonts w:hint="eastAsia"/>
              </w:rPr>
              <w:t>职业健康安全目标</w:t>
            </w:r>
            <w:r>
              <w:rPr>
                <w:rFonts w:hint="eastAsia"/>
                <w:lang w:eastAsia="zh-CN"/>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产品交付合格率≥100%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合同按时完成率≥100%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 xml:space="preserve">顾客满意率≥96分 </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办公、生活废弃物分类收集处理率100%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火灾发生为0</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重大安全事故和伤亡事故为0</w:t>
            </w:r>
          </w:p>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rPr>
                <w:rFonts w:ascii="宋体" w:hAnsi="宋体"/>
                <w:b/>
                <w:szCs w:val="21"/>
              </w:rPr>
            </w:pPr>
            <w:r>
              <w:rPr>
                <w:rFonts w:hint="eastAsia" w:ascii="宋体" w:hAnsi="宋体" w:cs="宋体"/>
                <w:szCs w:val="21"/>
                <w:highlight w:val="none"/>
                <w:lang w:val="en-US" w:eastAsia="zh-CN"/>
              </w:rPr>
              <w:t>公司办公室面积50平，</w:t>
            </w:r>
            <w:r>
              <w:rPr>
                <w:rFonts w:hint="eastAsia" w:ascii="宋体" w:hAnsi="宋体"/>
                <w:szCs w:val="21"/>
                <w:highlight w:val="none"/>
                <w:lang w:eastAsia="zh-CN"/>
              </w:rPr>
              <w:t>无库房</w:t>
            </w:r>
            <w:r>
              <w:rPr>
                <w:rFonts w:hint="eastAsia" w:ascii="宋体" w:hAnsi="宋体"/>
                <w:szCs w:val="21"/>
                <w:highlight w:val="none"/>
                <w:lang w:val="en-US" w:eastAsia="zh-CN"/>
              </w:rPr>
              <w:t>。</w:t>
            </w:r>
            <w:r>
              <w:rPr>
                <w:rFonts w:hint="eastAsia" w:ascii="宋体" w:hAnsi="宋体"/>
                <w:sz w:val="21"/>
                <w:szCs w:val="21"/>
                <w:highlight w:val="none"/>
              </w:rPr>
              <w:t>公司采取开票销售的方式进行，</w:t>
            </w:r>
            <w:r>
              <w:rPr>
                <w:rFonts w:hint="eastAsia" w:ascii="宋体" w:hAnsi="宋体"/>
                <w:sz w:val="21"/>
                <w:szCs w:val="21"/>
                <w:highlight w:val="none"/>
                <w:lang w:eastAsia="zh-CN"/>
              </w:rPr>
              <w:t>销售商品由供应商</w:t>
            </w:r>
            <w:r>
              <w:rPr>
                <w:rFonts w:hint="eastAsia" w:ascii="宋体" w:hAnsi="宋体"/>
                <w:sz w:val="21"/>
                <w:szCs w:val="21"/>
                <w:highlight w:val="none"/>
              </w:rPr>
              <w:t>直接交付到</w:t>
            </w:r>
            <w:r>
              <w:rPr>
                <w:rFonts w:hint="eastAsia" w:ascii="宋体" w:hAnsi="宋体"/>
                <w:sz w:val="21"/>
                <w:szCs w:val="21"/>
                <w:highlight w:val="none"/>
                <w:lang w:eastAsia="zh-CN"/>
              </w:rPr>
              <w:t>顾客</w:t>
            </w:r>
            <w:r>
              <w:rPr>
                <w:rFonts w:hint="eastAsia" w:ascii="宋体" w:hAnsi="宋体"/>
                <w:sz w:val="21"/>
                <w:szCs w:val="21"/>
                <w:highlight w:val="none"/>
              </w:rPr>
              <w:t>，未设置库房等周转环节</w:t>
            </w:r>
            <w:r>
              <w:rPr>
                <w:rFonts w:hint="eastAsia" w:ascii="宋体" w:hAnsi="宋体"/>
                <w:sz w:val="21"/>
                <w:szCs w:val="21"/>
                <w:highlight w:val="none"/>
                <w:lang w:eastAsia="zh-CN"/>
              </w:rPr>
              <w:t>。</w:t>
            </w:r>
            <w:r>
              <w:rPr>
                <w:rFonts w:hint="eastAsia" w:ascii="宋体" w:hAnsi="宋体" w:cs="宋体"/>
                <w:color w:val="auto"/>
                <w:szCs w:val="21"/>
              </w:rPr>
              <w:t>主要生产设备包括：</w:t>
            </w:r>
            <w:r>
              <w:rPr>
                <w:rFonts w:hint="eastAsia"/>
                <w:color w:val="auto"/>
                <w:szCs w:val="21"/>
              </w:rPr>
              <w:t>电脑</w:t>
            </w:r>
            <w:r>
              <w:rPr>
                <w:rFonts w:hint="eastAsia"/>
                <w:color w:val="auto"/>
                <w:szCs w:val="21"/>
                <w:lang w:eastAsia="zh-CN"/>
              </w:rPr>
              <w:t>及</w:t>
            </w:r>
            <w:r>
              <w:rPr>
                <w:rFonts w:hint="eastAsia"/>
                <w:color w:val="auto"/>
                <w:szCs w:val="21"/>
              </w:rPr>
              <w:t>办公设备</w:t>
            </w:r>
            <w:r>
              <w:rPr>
                <w:rStyle w:val="19"/>
                <w:rFonts w:hint="eastAsia" w:ascii="宋体" w:hAnsi="宋体"/>
                <w:color w:val="auto"/>
                <w:szCs w:val="21"/>
              </w:rPr>
              <w:t>等</w:t>
            </w:r>
            <w:r>
              <w:rPr>
                <w:rFonts w:hint="eastAsia" w:ascii="宋体" w:hAnsi="宋体" w:cs="宋体"/>
                <w:color w:val="auto"/>
                <w:szCs w:val="21"/>
              </w:rPr>
              <w:t>，可以</w:t>
            </w:r>
            <w:r>
              <w:rPr>
                <w:rFonts w:hint="eastAsia" w:ascii="宋体" w:hAnsi="宋体" w:cs="宋体"/>
                <w:color w:val="auto"/>
                <w:szCs w:val="21"/>
                <w:lang w:eastAsia="zh-CN"/>
              </w:rPr>
              <w:t>满足</w:t>
            </w:r>
            <w:r>
              <w:rPr>
                <w:rFonts w:hint="eastAsia" w:ascii="宋体" w:hAnsi="宋体" w:cs="宋体"/>
                <w:color w:val="auto"/>
                <w:szCs w:val="21"/>
                <w:lang w:val="en-US" w:eastAsia="zh-CN"/>
              </w:rPr>
              <w:t>各</w:t>
            </w:r>
            <w:r>
              <w:rPr>
                <w:rFonts w:hint="eastAsia" w:ascii="宋体" w:hAnsi="宋体" w:eastAsia="宋体" w:cs="Times New Roman"/>
                <w:sz w:val="21"/>
                <w:szCs w:val="21"/>
                <w:highlight w:val="none"/>
                <w:lang w:val="en-US" w:eastAsia="zh-CN"/>
              </w:rPr>
              <w:t>类家具</w:t>
            </w:r>
            <w:r>
              <w:rPr>
                <w:rFonts w:hint="eastAsia" w:ascii="宋体" w:hAnsi="宋体" w:eastAsia="宋体" w:cs="Times New Roman"/>
                <w:sz w:val="21"/>
                <w:szCs w:val="21"/>
                <w:highlight w:val="none"/>
              </w:rPr>
              <w:t>的销售。</w:t>
            </w:r>
            <w:r>
              <w:rPr>
                <w:rFonts w:hint="eastAsia" w:ascii="宋体" w:hAnsi="宋体" w:cs="宋体"/>
                <w:color w:val="auto"/>
                <w:szCs w:val="21"/>
              </w:rPr>
              <w:t>特种设备：</w:t>
            </w:r>
            <w:r>
              <w:rPr>
                <w:rFonts w:hint="eastAsia"/>
                <w:color w:val="auto"/>
                <w:szCs w:val="21"/>
                <w:lang w:eastAsia="zh-CN"/>
              </w:rPr>
              <w:t>无</w:t>
            </w:r>
            <w:r>
              <w:rPr>
                <w:rFonts w:hint="eastAsia" w:ascii="宋体" w:hAnsi="宋体"/>
                <w:color w:val="auto"/>
                <w:szCs w:val="21"/>
              </w:rPr>
              <w:t>。</w:t>
            </w:r>
            <w:r>
              <w:rPr>
                <w:rFonts w:hint="eastAsia" w:ascii="宋体" w:hAnsi="宋体" w:cs="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w:t>
            </w:r>
            <w:r>
              <w:rPr>
                <w:rFonts w:hint="eastAsia" w:ascii="宋体" w:hAnsi="宋体"/>
                <w:szCs w:val="21"/>
                <w:lang w:eastAsia="zh-CN"/>
              </w:rPr>
              <w:t>从事服务及工作性质</w:t>
            </w:r>
            <w:r>
              <w:rPr>
                <w:rFonts w:hint="eastAsia" w:ascii="宋体" w:hAnsi="宋体"/>
                <w:szCs w:val="21"/>
                <w:lang w:val="de-DE" w:eastAsia="zh-CN"/>
              </w:rPr>
              <w:t>的对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highlight w:val="none"/>
              </w:rPr>
              <w:t>无，采取以供方出具的产品检测报告为验收依据，进行核验，最终产品质量由顾客确认，暂未配置检测设备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color w:val="auto"/>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auto"/>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eastAsia="宋体"/>
                <w:b/>
                <w:szCs w:val="21"/>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从审核过程看，公司的服务质量管理基本受控。QMS关键工序(过程)特殊过程</w:t>
            </w:r>
            <w:r>
              <w:rPr>
                <w:rFonts w:hint="eastAsia" w:ascii="宋体" w:hAnsi="宋体" w:cs="宋体"/>
                <w:color w:val="000000"/>
                <w:szCs w:val="21"/>
                <w:lang w:eastAsia="zh-CN"/>
              </w:rPr>
              <w:t>为</w:t>
            </w:r>
            <w:r>
              <w:rPr>
                <w:rFonts w:hint="eastAsia" w:ascii="宋体" w:hAnsi="宋体" w:cs="宋体"/>
                <w:color w:val="000000"/>
                <w:szCs w:val="21"/>
                <w:lang w:val="en-US" w:eastAsia="zh-CN"/>
              </w:rPr>
              <w:t>销售</w:t>
            </w:r>
            <w:r>
              <w:rPr>
                <w:rFonts w:hint="eastAsia" w:ascii="宋体" w:hAnsi="宋体" w:cs="宋体"/>
                <w:color w:val="000000"/>
                <w:szCs w:val="21"/>
                <w:lang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制定并实施了服务质量评价规定，规定了公司各管理层次和品质管理部门在各阶段对服务质量实施检查与验收的管理要求。内容基本具备全面性、系统性及可操作性。质量检查与验收交付客户</w:t>
            </w:r>
            <w:r>
              <w:rPr>
                <w:rFonts w:hint="eastAsia" w:ascii="宋体" w:hAnsi="宋体" w:cs="宋体"/>
                <w:color w:val="000000"/>
                <w:szCs w:val="21"/>
                <w:lang w:eastAsia="zh-CN"/>
              </w:rPr>
              <w:t>时</w:t>
            </w:r>
            <w:r>
              <w:rPr>
                <w:rFonts w:hint="eastAsia" w:ascii="宋体" w:hAnsi="宋体" w:cs="宋体"/>
                <w:color w:val="000000"/>
                <w:szCs w:val="21"/>
              </w:rPr>
              <w:t>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color w:val="auto"/>
                <w:szCs w:val="21"/>
              </w:rPr>
              <w:t>组织重要环境因素为潜在火灾、固废排放</w:t>
            </w:r>
            <w:r>
              <w:rPr>
                <w:rFonts w:hint="eastAsia"/>
                <w:color w:val="000000"/>
                <w:lang w:val="en-US" w:eastAsia="zh-CN"/>
              </w:rPr>
              <w:t>资源、能源的消耗</w:t>
            </w:r>
            <w:r>
              <w:rPr>
                <w:rFonts w:hint="eastAsia" w:asciiTheme="minorEastAsia" w:hAnsiTheme="minorEastAsia" w:eastAsiaTheme="minorEastAsia"/>
                <w:bCs/>
                <w:iCs/>
                <w:color w:val="auto"/>
                <w:szCs w:val="21"/>
              </w:rPr>
              <w:t>，需要应对的风险和机遇相关的过程为</w:t>
            </w:r>
            <w:r>
              <w:rPr>
                <w:rFonts w:hint="eastAsia" w:asciiTheme="minorEastAsia" w:hAnsiTheme="minorEastAsia" w:eastAsiaTheme="minorEastAsia"/>
                <w:bCs/>
                <w:iCs/>
                <w:color w:val="auto"/>
                <w:szCs w:val="21"/>
                <w:lang w:val="en-US" w:eastAsia="zh-CN"/>
              </w:rPr>
              <w:t>产品</w:t>
            </w:r>
            <w:r>
              <w:rPr>
                <w:rFonts w:hint="eastAsia" w:asciiTheme="minorEastAsia" w:hAnsiTheme="minorEastAsia" w:eastAsiaTheme="minorEastAsia"/>
                <w:bCs/>
                <w:iCs/>
                <w:color w:val="auto"/>
                <w:szCs w:val="21"/>
                <w:lang w:eastAsia="zh-CN"/>
              </w:rPr>
              <w:t>销售</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eastAsia="zh-CN"/>
              </w:rPr>
              <w:t>垃圾分类收集</w:t>
            </w:r>
            <w:r>
              <w:rPr>
                <w:rFonts w:hint="eastAsia" w:asciiTheme="minorEastAsia" w:hAnsiTheme="minorEastAsia" w:eastAsiaTheme="minorEastAsia"/>
                <w:bCs/>
                <w:iCs/>
                <w:color w:val="auto"/>
                <w:szCs w:val="21"/>
              </w:rPr>
              <w:t>、</w:t>
            </w:r>
            <w:r>
              <w:rPr>
                <w:rFonts w:hint="eastAsia" w:asciiTheme="minorEastAsia" w:hAnsiTheme="minorEastAsia" w:eastAsiaTheme="minorEastAsia"/>
                <w:bCs/>
                <w:iCs/>
                <w:color w:val="auto"/>
                <w:szCs w:val="21"/>
                <w:lang w:val="en-US" w:eastAsia="zh-CN"/>
              </w:rPr>
              <w:t>处置</w:t>
            </w:r>
            <w:r>
              <w:rPr>
                <w:rFonts w:hint="eastAsia" w:asciiTheme="minorEastAsia" w:hAnsiTheme="minorEastAsia" w:eastAsiaTheme="minorEastAsia"/>
                <w:bCs/>
                <w:iCs/>
                <w:color w:val="auto"/>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宋体" w:hAnsi="宋体"/>
                <w:b/>
                <w:szCs w:val="21"/>
              </w:rPr>
            </w:pPr>
            <w:r>
              <w:rPr>
                <w:rFonts w:hint="eastAsia" w:asciiTheme="minorEastAsia" w:hAnsiTheme="minorEastAsia" w:eastAsiaTheme="minorEastAsia"/>
                <w:bCs/>
                <w:iCs/>
                <w:szCs w:val="21"/>
                <w:highlight w:val="none"/>
              </w:rPr>
              <w:t>组织建立了危险源识别、评价控制程序，识别评价了危险源、风险相关的过程，评价出了重要危险</w:t>
            </w:r>
            <w:r>
              <w:rPr>
                <w:rFonts w:hint="eastAsia" w:asciiTheme="minorEastAsia" w:hAnsiTheme="minorEastAsia" w:eastAsiaTheme="minorEastAsia"/>
                <w:bCs/>
                <w:iCs/>
                <w:color w:val="auto"/>
                <w:szCs w:val="21"/>
                <w:highlight w:val="none"/>
              </w:rPr>
              <w:t>源（火灾、</w:t>
            </w:r>
            <w:r>
              <w:rPr>
                <w:rFonts w:hint="eastAsia" w:asciiTheme="minorEastAsia" w:hAnsiTheme="minorEastAsia" w:eastAsiaTheme="minorEastAsia"/>
                <w:bCs/>
                <w:iCs/>
                <w:color w:val="auto"/>
                <w:szCs w:val="21"/>
                <w:highlight w:val="none"/>
                <w:lang w:eastAsia="zh-CN"/>
              </w:rPr>
              <w:t>触电</w:t>
            </w:r>
            <w:r>
              <w:rPr>
                <w:rFonts w:hint="eastAsia" w:asciiTheme="minorEastAsia" w:hAnsiTheme="minorEastAsia" w:eastAsiaTheme="minorEastAsia"/>
                <w:bCs/>
                <w:iCs/>
                <w:color w:val="auto"/>
                <w:szCs w:val="21"/>
                <w:highlight w:val="none"/>
              </w:rPr>
              <w:t>等），与之相关的过程有</w:t>
            </w:r>
            <w:r>
              <w:rPr>
                <w:rFonts w:hint="eastAsia" w:asciiTheme="minorEastAsia" w:hAnsiTheme="minorEastAsia" w:eastAsiaTheme="minorEastAsia"/>
                <w:bCs/>
                <w:iCs/>
                <w:color w:val="auto"/>
                <w:szCs w:val="21"/>
                <w:highlight w:val="none"/>
                <w:lang w:eastAsia="zh-CN"/>
              </w:rPr>
              <w:t>合同评审、</w:t>
            </w:r>
            <w:r>
              <w:rPr>
                <w:rFonts w:hint="eastAsia" w:asciiTheme="minorEastAsia" w:hAnsiTheme="minorEastAsia" w:eastAsiaTheme="minorEastAsia"/>
                <w:bCs/>
                <w:iCs/>
                <w:color w:val="auto"/>
                <w:szCs w:val="21"/>
                <w:highlight w:val="none"/>
                <w:lang w:val="en-US" w:eastAsia="zh-CN"/>
              </w:rPr>
              <w:t>销售产品的</w:t>
            </w:r>
            <w:r>
              <w:rPr>
                <w:rFonts w:hint="eastAsia" w:asciiTheme="minorEastAsia" w:hAnsiTheme="minorEastAsia" w:eastAsiaTheme="minorEastAsia"/>
                <w:bCs/>
                <w:iCs/>
                <w:color w:val="auto"/>
                <w:szCs w:val="21"/>
                <w:highlight w:val="none"/>
                <w:lang w:eastAsia="zh-CN"/>
              </w:rPr>
              <w:t>采购、销售</w:t>
            </w:r>
            <w:r>
              <w:rPr>
                <w:rFonts w:hint="eastAsia" w:asciiTheme="minorEastAsia" w:hAnsiTheme="minorEastAsia" w:eastAsiaTheme="minorEastAsia"/>
                <w:bCs/>
                <w:iCs/>
                <w:color w:val="auto"/>
                <w:szCs w:val="21"/>
                <w:highlight w:val="none"/>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cs="Times New Roman" w:asciiTheme="minorEastAsia" w:hAnsiTheme="minorEastAsia" w:eastAsiaTheme="minorEastAsia"/>
                <w:bCs/>
                <w:iCs/>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w:t>
            </w:r>
            <w:r>
              <w:rPr>
                <w:rFonts w:hint="eastAsia" w:cs="Times New Roman" w:asciiTheme="minorEastAsia" w:hAnsiTheme="minorEastAsia" w:eastAsiaTheme="minorEastAsia"/>
                <w:bCs/>
                <w:iCs/>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auto"/>
                <w:szCs w:val="21"/>
              </w:rPr>
              <w:t>。同时，质量目标得到沟通和监视评价，通过数据的汇总统计、描述性统计等方法对目标进行了测量，总体已达到或超过了规定的目标值。通过20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6</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w:t>
            </w:r>
            <w:r>
              <w:rPr>
                <w:rFonts w:hint="eastAsia" w:ascii="宋体" w:hAnsi="宋体" w:cs="宋体"/>
                <w:color w:val="auto"/>
                <w:szCs w:val="21"/>
              </w:rPr>
              <w:t>满意度调查按规定实施，202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月实施，满意度评价9</w:t>
            </w:r>
            <w:r>
              <w:rPr>
                <w:rFonts w:hint="eastAsia" w:ascii="宋体" w:hAnsi="宋体" w:cs="宋体"/>
                <w:color w:val="auto"/>
                <w:szCs w:val="21"/>
                <w:lang w:val="en-US" w:eastAsia="zh-CN"/>
              </w:rPr>
              <w:t>8</w:t>
            </w:r>
            <w:r>
              <w:rPr>
                <w:rFonts w:hint="eastAsia" w:ascii="宋体" w:hAnsi="宋体" w:cs="宋体"/>
                <w:color w:val="auto"/>
                <w:szCs w:val="21"/>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400" w:lineRule="exact"/>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17日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eastAsia="宋体" w:cs="Times New Roman"/>
                <w:szCs w:val="21"/>
              </w:rPr>
              <w:t>涉及</w:t>
            </w:r>
            <w:r>
              <w:rPr>
                <w:rFonts w:hint="eastAsia" w:ascii="宋体" w:hAnsi="宋体" w:eastAsia="宋体" w:cs="Times New Roman"/>
                <w:szCs w:val="21"/>
                <w:lang w:eastAsia="zh-CN"/>
              </w:rPr>
              <w:t>行政部</w:t>
            </w:r>
            <w:r>
              <w:rPr>
                <w:rFonts w:hint="eastAsia" w:ascii="宋体" w:hAnsi="宋体" w:eastAsia="宋体" w:cs="Times New Roman"/>
                <w:szCs w:val="21"/>
              </w:rPr>
              <w:t>GB/T19001-2016</w:t>
            </w:r>
            <w:r>
              <w:rPr>
                <w:rFonts w:hint="eastAsia" w:ascii="宋体" w:hAnsi="宋体" w:eastAsia="宋体" w:cs="Times New Roman"/>
                <w:szCs w:val="21"/>
                <w:lang w:val="en-US" w:eastAsia="zh-CN"/>
              </w:rPr>
              <w:t>/</w:t>
            </w:r>
            <w:r>
              <w:rPr>
                <w:rFonts w:hint="eastAsia" w:ascii="宋体" w:hAnsi="宋体" w:eastAsia="宋体" w:cs="Times New Roman"/>
                <w:szCs w:val="21"/>
              </w:rPr>
              <w:t>GB/T24001-2016/ISO450</w:t>
            </w:r>
            <w:r>
              <w:rPr>
                <w:rFonts w:hint="eastAsia" w:ascii="宋体" w:hAnsi="宋体"/>
                <w:szCs w:val="21"/>
              </w:rPr>
              <w:t>01:2018标准</w:t>
            </w:r>
            <w:r>
              <w:rPr>
                <w:rFonts w:hint="eastAsia" w:ascii="宋体" w:hAnsi="宋体"/>
                <w:szCs w:val="21"/>
                <w:lang w:val="en-US" w:eastAsia="zh-CN"/>
              </w:rPr>
              <w:t>7</w:t>
            </w:r>
            <w:r>
              <w:rPr>
                <w:rFonts w:hint="eastAsia" w:ascii="宋体" w:hAnsi="宋体"/>
                <w:szCs w:val="21"/>
              </w:rPr>
              <w:t>.2条款</w:t>
            </w:r>
            <w:r>
              <w:rPr>
                <w:rFonts w:hint="eastAsia" w:ascii="宋体" w:hAnsi="宋体"/>
                <w:szCs w:val="21"/>
                <w:lang w:eastAsia="zh-CN"/>
              </w:rPr>
              <w:t>“</w:t>
            </w:r>
            <w:r>
              <w:rPr>
                <w:rFonts w:hint="eastAsia" w:ascii="宋体" w:hAnsi="宋体" w:eastAsia="宋体" w:cs="Times New Roman"/>
                <w:szCs w:val="21"/>
                <w:lang w:val="en-US" w:eastAsia="zh-CN"/>
              </w:rPr>
              <w:t>未能提供人员培训记录</w:t>
            </w:r>
            <w:r>
              <w:rPr>
                <w:rFonts w:hint="eastAsia" w:ascii="宋体" w:hAnsi="宋体" w:eastAsia="宋体" w:cs="Times New Roman"/>
                <w:szCs w:val="21"/>
              </w:rPr>
              <w:t>”及时进行统计和分析</w:t>
            </w:r>
            <w:r>
              <w:rPr>
                <w:rFonts w:hint="eastAsia" w:ascii="宋体" w:hAnsi="宋体"/>
                <w:szCs w:val="21"/>
                <w:highlight w:val="none"/>
              </w:rPr>
              <w:t>，</w:t>
            </w:r>
            <w:r>
              <w:rPr>
                <w:rFonts w:hint="eastAsia" w:ascii="宋体" w:hAnsi="宋体" w:cs="宋体"/>
                <w:szCs w:val="21"/>
                <w:highlight w:val="none"/>
              </w:rPr>
              <w:t>针对该不符合项，已及时采取纠正措</w:t>
            </w:r>
            <w:r>
              <w:rPr>
                <w:rFonts w:hint="eastAsia" w:ascii="宋体" w:hAnsi="宋体" w:cs="宋体"/>
                <w:szCs w:val="21"/>
              </w:rPr>
              <w:t>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rPr>
                <w:rFonts w:ascii="宋体" w:hAnsi="宋体"/>
                <w:b/>
                <w:color w:val="auto"/>
                <w:szCs w:val="21"/>
              </w:rPr>
            </w:pPr>
            <w:r>
              <w:rPr>
                <w:rFonts w:hint="eastAsia" w:ascii="宋体" w:hAnsi="宋体"/>
                <w:b/>
                <w:color w:val="auto"/>
                <w:szCs w:val="21"/>
                <w:lang w:val="en-US" w:eastAsia="zh-CN"/>
              </w:rPr>
              <w:t>5.</w:t>
            </w:r>
            <w:r>
              <w:rPr>
                <w:rFonts w:ascii="宋体" w:hAnsi="宋体"/>
                <w:b/>
                <w:color w:val="auto"/>
                <w:szCs w:val="21"/>
              </w:rPr>
              <w:t xml:space="preserve"> EMS</w:t>
            </w:r>
            <w:r>
              <w:rPr>
                <w:rFonts w:hint="eastAsia" w:ascii="宋体" w:hAnsi="宋体"/>
                <w:b/>
                <w:color w:val="auto"/>
                <w:szCs w:val="21"/>
              </w:rPr>
              <w:t>是否按规定对主要污染物（污水、废气、噪声、废渣等）及排放实施了例行的监视或测量，结果是否满足相关要求？</w:t>
            </w:r>
          </w:p>
          <w:p>
            <w:pPr>
              <w:spacing w:line="240" w:lineRule="exact"/>
              <w:rPr>
                <w:rFonts w:ascii="宋体" w:hAnsi="宋体"/>
                <w:b/>
                <w:color w:val="auto"/>
                <w:szCs w:val="21"/>
              </w:rPr>
            </w:pPr>
            <w:r>
              <w:rPr>
                <w:rFonts w:hint="eastAsia" w:ascii="宋体" w:hAnsi="宋体"/>
                <w:b/>
                <w:color w:val="auto"/>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6.  EMS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地方环保部门监测结果、新改扩建项目符合环评报告、三同时验收报告要求情况及措施</w:t>
            </w:r>
            <w:r>
              <w:rPr>
                <w:rFonts w:ascii="宋体" w:hAnsi="宋体"/>
                <w:b/>
                <w:color w:val="auto"/>
                <w:szCs w:val="21"/>
              </w:rPr>
              <w:t>(98</w:t>
            </w:r>
            <w:r>
              <w:rPr>
                <w:rFonts w:hint="eastAsia" w:ascii="宋体" w:hAnsi="宋体"/>
                <w:b/>
                <w:color w:val="auto"/>
                <w:szCs w:val="21"/>
              </w:rPr>
              <w:t>年后</w:t>
            </w:r>
            <w:r>
              <w:rPr>
                <w:rFonts w:ascii="宋体" w:hAnsi="宋体"/>
                <w:b/>
                <w:color w:val="auto"/>
                <w:szCs w:val="21"/>
              </w:rPr>
              <w:t xml:space="preserve">) </w:t>
            </w: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color w:val="auto"/>
                <w:szCs w:val="21"/>
              </w:rPr>
            </w:pPr>
            <w:r>
              <w:rPr>
                <w:rFonts w:ascii="宋体" w:hAnsi="宋体"/>
                <w:b/>
                <w:color w:val="auto"/>
                <w:szCs w:val="21"/>
              </w:rPr>
              <w:t>7. OHSMS</w:t>
            </w:r>
            <w:r>
              <w:rPr>
                <w:rFonts w:hint="eastAsia" w:ascii="宋体" w:hAnsi="宋体"/>
                <w:b/>
                <w:color w:val="auto"/>
                <w:szCs w:val="21"/>
              </w:rPr>
              <w:t>是否按规定对职业健康安全项目进行定期测量，结果是否满足相关要求：</w:t>
            </w:r>
          </w:p>
          <w:p>
            <w:pPr>
              <w:spacing w:line="240" w:lineRule="exact"/>
              <w:rPr>
                <w:rFonts w:ascii="宋体" w:hAnsi="宋体"/>
                <w:b/>
                <w:color w:val="auto"/>
                <w:szCs w:val="21"/>
              </w:rPr>
            </w:pPr>
          </w:p>
          <w:p>
            <w:pPr>
              <w:spacing w:line="240" w:lineRule="exact"/>
              <w:ind w:firstLine="211" w:firstLineChars="100"/>
              <w:rPr>
                <w:rFonts w:ascii="宋体" w:hAnsi="宋体"/>
                <w:b/>
                <w:color w:val="auto"/>
                <w:szCs w:val="21"/>
              </w:rPr>
            </w:pPr>
            <w:r>
              <w:rPr>
                <w:rFonts w:hint="eastAsia" w:ascii="宋体" w:hAnsi="宋体"/>
                <w:b/>
                <w:color w:val="auto"/>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auto"/>
                <w:szCs w:val="21"/>
              </w:rPr>
            </w:pPr>
            <w:r>
              <w:rPr>
                <w:rFonts w:ascii="宋体" w:hAnsi="宋体"/>
                <w:b/>
                <w:color w:val="auto"/>
                <w:szCs w:val="21"/>
              </w:rPr>
              <w:t>8.OHSMS</w:t>
            </w:r>
            <w:r>
              <w:rPr>
                <w:rFonts w:hint="eastAsia" w:ascii="宋体" w:hAnsi="宋体"/>
                <w:b/>
                <w:color w:val="auto"/>
                <w:szCs w:val="21"/>
              </w:rPr>
              <w:t>国家</w:t>
            </w:r>
            <w:r>
              <w:rPr>
                <w:rFonts w:ascii="宋体" w:hAnsi="宋体"/>
                <w:b/>
                <w:color w:val="auto"/>
                <w:szCs w:val="21"/>
              </w:rPr>
              <w:t>/</w:t>
            </w:r>
            <w:r>
              <w:rPr>
                <w:rFonts w:hint="eastAsia" w:ascii="宋体" w:hAnsi="宋体"/>
                <w:b/>
                <w:color w:val="auto"/>
                <w:szCs w:val="21"/>
              </w:rPr>
              <w:t>地方职业健康安全部门监督检查情况及措施</w:t>
            </w:r>
          </w:p>
          <w:p>
            <w:pPr>
              <w:spacing w:line="240" w:lineRule="exact"/>
              <w:rPr>
                <w:rFonts w:ascii="宋体" w:hAnsi="宋体"/>
                <w:b/>
                <w:color w:val="auto"/>
                <w:szCs w:val="21"/>
              </w:rPr>
            </w:pPr>
            <w:r>
              <w:rPr>
                <w:rFonts w:hint="eastAsia"/>
                <w:b/>
                <w:color w:val="auto"/>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color w:val="auto"/>
                <w:szCs w:val="21"/>
              </w:rPr>
            </w:pPr>
            <w:r>
              <w:rPr>
                <w:rFonts w:ascii="宋体" w:hAnsi="宋体"/>
                <w:b/>
                <w:color w:val="auto"/>
                <w:szCs w:val="21"/>
              </w:rPr>
              <w:t xml:space="preserve">9. </w:t>
            </w:r>
            <w:r>
              <w:rPr>
                <w:rFonts w:hint="eastAsia" w:ascii="宋体" w:hAnsi="宋体"/>
                <w:b/>
                <w:color w:val="auto"/>
                <w:szCs w:val="21"/>
              </w:rPr>
              <w:t>其他能够标明组织绩效、信誉的证据</w:t>
            </w:r>
            <w:r>
              <w:rPr>
                <w:rFonts w:ascii="宋体" w:hAnsi="宋体"/>
                <w:b/>
                <w:color w:val="auto"/>
                <w:szCs w:val="21"/>
              </w:rPr>
              <w:t>/</w:t>
            </w:r>
            <w:r>
              <w:rPr>
                <w:rFonts w:hint="eastAsia" w:ascii="宋体" w:hAnsi="宋体"/>
                <w:b/>
                <w:color w:val="auto"/>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auto"/>
                <w:sz w:val="20"/>
                <w:szCs w:val="20"/>
              </w:rPr>
            </w:pPr>
            <w:r>
              <w:rPr>
                <w:rFonts w:hint="eastAsia"/>
                <w:b/>
                <w:color w:val="auto"/>
                <w:sz w:val="20"/>
                <w:szCs w:val="20"/>
              </w:rPr>
              <w:t>3. 一阶段提出问题的整改情况?</w:t>
            </w:r>
          </w:p>
          <w:p>
            <w:pPr>
              <w:spacing w:line="240" w:lineRule="exact"/>
              <w:ind w:left="-105" w:leftChars="-50" w:firstLine="531" w:firstLineChars="252"/>
              <w:rPr>
                <w:rFonts w:hint="default" w:ascii="宋体" w:hAnsi="宋体" w:eastAsia="宋体"/>
                <w:b/>
                <w:szCs w:val="21"/>
                <w:lang w:val="en-US" w:eastAsia="zh-CN"/>
              </w:rPr>
            </w:pPr>
            <w:r>
              <w:rPr>
                <w:rFonts w:hint="eastAsia" w:ascii="宋体" w:hAnsi="宋体" w:eastAsia="宋体"/>
                <w:b/>
                <w:szCs w:val="21"/>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本次审核共开具不符合项报告1项；其中</w:t>
      </w:r>
      <w:r>
        <w:rPr>
          <w:b/>
          <w:color w:val="auto"/>
          <w:highlight w:val="none"/>
        </w:rPr>
        <w:pict>
          <v:line id="直接连接符 1" o:spid="_x0000_s2052" o:spt="20" style="position:absolute;left:0pt;margin-left:210pt;margin-top:16.2pt;height:0pt;width:0pt;z-index:25166233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highlight w:val="none"/>
        </w:rPr>
        <w:t>严重不符合 0项，一般不符合 1项，观察项</w:t>
      </w:r>
      <w:r>
        <w:rPr>
          <w:rFonts w:hint="eastAsia"/>
          <w:b/>
          <w:color w:val="auto"/>
          <w:highlight w:val="none"/>
          <w:lang w:val="en-US" w:eastAsia="zh-CN"/>
        </w:rPr>
        <w:t>0</w:t>
      </w:r>
      <w:r>
        <w:rPr>
          <w:rFonts w:hint="eastAsia"/>
          <w:b/>
          <w:color w:val="auto"/>
          <w:highlight w:val="none"/>
        </w:rPr>
        <w:t>项，</w:t>
      </w:r>
      <w:r>
        <w:rPr>
          <w:rFonts w:hint="eastAsia"/>
          <w:b/>
          <w:color w:val="auto"/>
          <w:highlight w:val="none"/>
          <w:lang w:val="en-US" w:eastAsia="zh-CN"/>
        </w:rPr>
        <w:t>不符合项</w:t>
      </w:r>
      <w:r>
        <w:rPr>
          <w:rFonts w:hint="eastAsia"/>
          <w:b/>
          <w:color w:val="auto"/>
          <w:highlight w:val="none"/>
        </w:rPr>
        <w:t>分布在</w:t>
      </w:r>
      <w:r>
        <w:rPr>
          <w:rFonts w:hint="eastAsia"/>
          <w:b/>
          <w:color w:val="auto"/>
          <w:highlight w:val="none"/>
          <w:lang w:val="en-US" w:eastAsia="zh-CN"/>
        </w:rPr>
        <w:t>市场部门Q8.5.1f</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080" w:type="dxa"/>
          </w:tcPr>
          <w:p>
            <w:pPr>
              <w:rPr>
                <w:b/>
                <w:color w:val="000000" w:themeColor="text1"/>
              </w:rPr>
            </w:pPr>
            <w:r>
              <w:rPr>
                <w:rFonts w:hint="eastAsia"/>
                <w:b/>
                <w:color w:val="000000" w:themeColor="text1"/>
              </w:rPr>
              <w:t>2.对审核范围适宜性结论</w:t>
            </w:r>
          </w:p>
          <w:p>
            <w:pPr>
              <w:ind w:left="-105" w:leftChars="-50"/>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ind w:left="-105" w:leftChars="-50"/>
              <w:rPr>
                <w:b/>
                <w:color w:val="000000" w:themeColor="text1"/>
              </w:rPr>
            </w:pPr>
            <w:r>
              <w:rPr>
                <w:rFonts w:hint="eastAsia"/>
                <w:b/>
                <w:sz w:val="26"/>
                <w:szCs w:val="26"/>
                <w:lang w:eastAsia="zh-CN"/>
              </w:rPr>
              <w:t>□</w:t>
            </w:r>
            <w:r>
              <w:rPr>
                <w:rFonts w:hint="eastAsia"/>
                <w:b/>
                <w:color w:val="000000" w:themeColor="text1"/>
              </w:rPr>
              <w:t>审核范围变更</w:t>
            </w:r>
            <w:r>
              <w:rPr>
                <w:rFonts w:hint="eastAsia"/>
                <w:b/>
                <w:color w:val="000000" w:themeColor="text1"/>
                <w:lang w:eastAsia="zh-CN"/>
              </w:rPr>
              <w:t>为</w:t>
            </w:r>
            <w:r>
              <w:rPr>
                <w:rFonts w:hint="eastAsia"/>
                <w:b/>
                <w:color w:val="000000" w:themeColor="text1"/>
              </w:rPr>
              <w:t>，</w:t>
            </w:r>
          </w:p>
          <w:p>
            <w:pPr>
              <w:rPr>
                <w:rFonts w:hint="eastAsia" w:ascii="宋体" w:hAnsi="宋体" w:eastAsia="宋体" w:cs="Times New Roman"/>
                <w:sz w:val="21"/>
                <w:szCs w:val="21"/>
                <w:lang w:val="en-US" w:eastAsia="zh-CN"/>
              </w:rPr>
            </w:pPr>
            <w:r>
              <w:rPr>
                <w:rFonts w:hint="eastAsia" w:ascii="宋体" w:hAnsi="宋体"/>
                <w:sz w:val="21"/>
                <w:szCs w:val="21"/>
                <w:lang w:val="en-US" w:eastAsia="zh-CN"/>
              </w:rPr>
              <w:t>QMS：</w:t>
            </w:r>
            <w:r>
              <w:rPr>
                <w:rFonts w:hint="eastAsia" w:ascii="宋体" w:hAnsi="宋体" w:eastAsia="宋体" w:cs="Times New Roman"/>
                <w:sz w:val="21"/>
                <w:szCs w:val="21"/>
                <w:lang w:val="en-US"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p>
          <w:p>
            <w:pPr>
              <w:spacing w:line="400" w:lineRule="exact"/>
              <w:jc w:val="both"/>
              <w:rPr>
                <w:rFonts w:hint="eastAsia" w:ascii="宋体" w:hAnsi="宋体"/>
                <w:sz w:val="21"/>
                <w:szCs w:val="21"/>
                <w:lang w:val="en-US" w:eastAsia="zh-CN"/>
              </w:rPr>
            </w:pPr>
            <w:r>
              <w:rPr>
                <w:rFonts w:hint="eastAsia" w:ascii="宋体" w:hAnsi="宋体"/>
                <w:sz w:val="21"/>
                <w:szCs w:val="21"/>
                <w:lang w:val="en-US" w:eastAsia="zh-CN"/>
              </w:rPr>
              <w:t>EMS：</w:t>
            </w:r>
            <w:r>
              <w:rPr>
                <w:rFonts w:hint="eastAsia" w:ascii="宋体" w:hAnsi="宋体" w:eastAsia="宋体" w:cs="Times New Roman"/>
                <w:sz w:val="21"/>
                <w:szCs w:val="21"/>
                <w:lang w:val="en-US"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rFonts w:hint="default" w:ascii="宋体" w:hAnsi="宋体" w:eastAsia="宋体" w:cs="Times New Roman"/>
                <w:sz w:val="21"/>
                <w:szCs w:val="21"/>
                <w:lang w:val="en-US" w:eastAsia="zh-CN"/>
              </w:rPr>
              <w:t>所涉及场所的相关环境管理活动</w:t>
            </w:r>
            <w:r>
              <w:rPr>
                <w:rFonts w:hint="eastAsia" w:ascii="宋体" w:hAnsi="宋体"/>
                <w:sz w:val="21"/>
                <w:szCs w:val="21"/>
                <w:lang w:val="en-US" w:eastAsia="zh-CN"/>
              </w:rPr>
              <w:t>。</w:t>
            </w:r>
          </w:p>
          <w:p>
            <w:pPr>
              <w:rPr>
                <w:b/>
                <w:color w:val="000000" w:themeColor="text1"/>
                <w:spacing w:val="-10"/>
                <w:sz w:val="22"/>
                <w:szCs w:val="22"/>
              </w:rPr>
            </w:pPr>
            <w:r>
              <w:rPr>
                <w:rFonts w:hint="eastAsia" w:ascii="宋体" w:hAnsi="宋体"/>
                <w:sz w:val="21"/>
                <w:szCs w:val="21"/>
                <w:lang w:val="en-US" w:eastAsia="zh-CN"/>
              </w:rPr>
              <w:t>OHSMS：</w:t>
            </w:r>
            <w:r>
              <w:rPr>
                <w:rFonts w:hint="eastAsia" w:ascii="宋体" w:hAnsi="宋体" w:eastAsia="宋体" w:cs="Times New Roman"/>
                <w:szCs w:val="21"/>
                <w:lang w:val="en-US" w:eastAsia="zh-CN"/>
              </w:rPr>
              <w:t>家具【木制家具、钢木家具、金属家具、医疗家具、教学家具（台、桌类、柜类、床类、屏风类、架类、茶几类、、课桌椅、公共区域座椅类、木骨架为主的椅凳类、金属骨架为主的椅凳类）；软体家具（沙发类、椅凳类、床垫类、公共区域座椅类、其他沙发类）；塑料家具（桌类、柜类、椅凳类）】的销售</w:t>
            </w:r>
            <w:r>
              <w:rPr>
                <w:rFonts w:hint="default" w:ascii="宋体" w:hAnsi="宋体" w:eastAsia="宋体" w:cs="Times New Roman"/>
                <w:szCs w:val="21"/>
                <w:lang w:val="en-US" w:eastAsia="zh-CN"/>
              </w:rPr>
              <w:t>所涉及场所的相关职业健康安全管理活动</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highlight w:val="none"/>
              </w:rPr>
            </w:pPr>
            <w:r>
              <w:rPr>
                <w:rFonts w:hint="eastAsia"/>
                <w:b/>
                <w:color w:val="000000" w:themeColor="text1"/>
                <w:spacing w:val="-10"/>
                <w:szCs w:val="21"/>
              </w:rPr>
              <w:t>□</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 xml:space="preserve">  □</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10"/>
                <w:sz w:val="22"/>
                <w:szCs w:val="22"/>
                <w:highlight w:val="none"/>
              </w:rPr>
            </w:pPr>
            <w:r>
              <w:rPr>
                <w:rFonts w:hint="eastAsia"/>
                <w:b/>
                <w:sz w:val="26"/>
                <w:szCs w:val="26"/>
                <w:highlight w:val="none"/>
              </w:rPr>
              <w:t>■</w:t>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 xml:space="preserve">(■QMS  </w:t>
            </w:r>
            <w:r>
              <w:rPr>
                <w:rFonts w:hint="eastAsia"/>
                <w:b/>
                <w:color w:val="000000" w:themeColor="text1"/>
                <w:spacing w:val="-10"/>
                <w:szCs w:val="21"/>
                <w:highlight w:val="none"/>
              </w:rPr>
              <w:t xml:space="preserve">   ■</w:t>
            </w:r>
            <w:r>
              <w:rPr>
                <w:rFonts w:hint="eastAsia"/>
                <w:b/>
                <w:color w:val="000000" w:themeColor="text1"/>
                <w:szCs w:val="21"/>
                <w:highlight w:val="none"/>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ascii="仿宋" w:hAnsi="仿宋" w:eastAsia="宋体" w:cstheme="minorBidi"/>
          <w:b/>
          <w:bCs/>
          <w:color w:val="000000" w:themeColor="text1"/>
          <w:kern w:val="24"/>
          <w:sz w:val="28"/>
          <w:szCs w:val="28"/>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1" w:leftChars="-405" w:hanging="851" w:hangingChars="326"/>
        <w:rPr>
          <w:rFonts w:hint="eastAsia" w:eastAsia="宋体"/>
          <w:b/>
          <w:color w:val="000000" w:themeColor="text1"/>
          <w:sz w:val="26"/>
          <w:szCs w:val="26"/>
          <w:lang w:eastAsia="zh-CN"/>
        </w:rPr>
      </w:pPr>
    </w:p>
    <w:p>
      <w:pPr>
        <w:spacing w:beforeLines="50" w:afterLines="50"/>
        <w:ind w:left="1" w:leftChars="-405" w:hanging="851" w:hangingChars="326"/>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drawing>
          <wp:anchor distT="0" distB="0" distL="114300" distR="114300" simplePos="0" relativeHeight="251663360" behindDoc="0" locked="0" layoutInCell="1" allowOverlap="1">
            <wp:simplePos x="0" y="0"/>
            <wp:positionH relativeFrom="column">
              <wp:posOffset>1591310</wp:posOffset>
            </wp:positionH>
            <wp:positionV relativeFrom="paragraph">
              <wp:posOffset>269240</wp:posOffset>
            </wp:positionV>
            <wp:extent cx="845185" cy="528955"/>
            <wp:effectExtent l="0" t="0" r="8255" b="444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845185" cy="528955"/>
                    </a:xfrm>
                    <a:prstGeom prst="rect">
                      <a:avLst/>
                    </a:prstGeom>
                    <a:noFill/>
                    <a:ln w="9525">
                      <a:noFill/>
                      <a:miter lim="800000"/>
                      <a:headEnd/>
                      <a:tailEnd/>
                    </a:ln>
                  </pic:spPr>
                </pic:pic>
              </a:graphicData>
            </a:graphic>
          </wp:anchor>
        </w:drawing>
      </w:r>
      <w:r>
        <w:rPr>
          <w:rFonts w:hint="eastAsia" w:ascii="Times New Roman" w:hAnsi="Times New Roman" w:eastAsia="宋体" w:cs="Times New Roman"/>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0" w:firstLineChars="250"/>
        <w:rPr>
          <w:b/>
          <w:color w:val="000000" w:themeColor="text1"/>
        </w:rPr>
      </w:pPr>
      <w:bookmarkStart w:id="22" w:name="_GoBack"/>
      <w:bookmarkEnd w:id="22"/>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3230245</wp:posOffset>
            </wp:positionH>
            <wp:positionV relativeFrom="paragraph">
              <wp:posOffset>152400</wp:posOffset>
            </wp:positionV>
            <wp:extent cx="460375" cy="309880"/>
            <wp:effectExtent l="0" t="0" r="12065" b="10160"/>
            <wp:wrapNone/>
            <wp:docPr id="12"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6bc8d82232cd8bc6519fc4dcd21ee2"/>
                    <pic:cNvPicPr>
                      <a:picLocks noChangeAspect="1"/>
                    </pic:cNvPicPr>
                  </pic:nvPicPr>
                  <pic:blipFill>
                    <a:blip r:embed="rId7"/>
                    <a:stretch>
                      <a:fillRect/>
                    </a:stretch>
                  </pic:blipFill>
                  <pic:spPr>
                    <a:xfrm>
                      <a:off x="0" y="0"/>
                      <a:ext cx="460375" cy="309880"/>
                    </a:xfrm>
                    <a:prstGeom prst="rect">
                      <a:avLst/>
                    </a:prstGeom>
                  </pic:spPr>
                </pic:pic>
              </a:graphicData>
            </a:graphic>
          </wp:anchor>
        </w:drawing>
      </w:r>
      <w:r>
        <w:rPr>
          <w:rFonts w:hint="eastAsia" w:eastAsia="宋体"/>
          <w:lang w:eastAsia="zh-CN"/>
        </w:rPr>
        <w:drawing>
          <wp:anchor distT="0" distB="0" distL="114300" distR="114300" simplePos="0" relativeHeight="251666432" behindDoc="0" locked="0" layoutInCell="1" allowOverlap="1">
            <wp:simplePos x="0" y="0"/>
            <wp:positionH relativeFrom="column">
              <wp:posOffset>2419985</wp:posOffset>
            </wp:positionH>
            <wp:positionV relativeFrom="paragraph">
              <wp:posOffset>149225</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a:stretch>
                      <a:fillRect/>
                    </a:stretch>
                  </pic:blipFill>
                  <pic:spPr>
                    <a:xfrm>
                      <a:off x="0" y="0"/>
                      <a:ext cx="683895" cy="3124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1572895</wp:posOffset>
            </wp:positionH>
            <wp:positionV relativeFrom="paragraph">
              <wp:posOffset>144780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9"/>
                    <a:srcRect l="7647" t="9871" r="7157" b="20799"/>
                    <a:stretch>
                      <a:fillRect/>
                    </a:stretch>
                  </pic:blipFill>
                  <pic:spPr>
                    <a:xfrm>
                      <a:off x="0" y="0"/>
                      <a:ext cx="812165" cy="275590"/>
                    </a:xfrm>
                    <a:prstGeom prst="rect">
                      <a:avLst/>
                    </a:prstGeom>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sz w:val="21"/>
          <w:szCs w:val="21"/>
        </w:rPr>
        <w:t>202</w:t>
      </w:r>
      <w:r>
        <w:rPr>
          <w:rFonts w:hint="eastAsia"/>
          <w:b/>
          <w:color w:val="000000" w:themeColor="text1"/>
          <w:sz w:val="21"/>
          <w:szCs w:val="21"/>
          <w:lang w:val="en-US" w:eastAsia="zh-CN"/>
        </w:rPr>
        <w:t>1</w:t>
      </w:r>
      <w:r>
        <w:rPr>
          <w:rFonts w:hint="eastAsia"/>
          <w:b/>
          <w:color w:val="000000" w:themeColor="text1"/>
          <w:sz w:val="21"/>
          <w:szCs w:val="21"/>
        </w:rPr>
        <w:t xml:space="preserve"> </w:t>
      </w:r>
      <w:r>
        <w:rPr>
          <w:rFonts w:hint="eastAsia" w:asciiTheme="minorEastAsia" w:hAnsiTheme="minorEastAsia" w:eastAsiaTheme="minorEastAsia"/>
          <w:b/>
          <w:color w:val="000000" w:themeColor="text1"/>
          <w:sz w:val="21"/>
          <w:szCs w:val="21"/>
        </w:rPr>
        <w:t>年</w:t>
      </w:r>
      <w:r>
        <w:rPr>
          <w:rFonts w:hint="eastAsia" w:asciiTheme="minorEastAsia" w:hAnsiTheme="minorEastAsia" w:eastAsiaTheme="minorEastAsia"/>
          <w:b/>
          <w:color w:val="000000" w:themeColor="text1"/>
          <w:sz w:val="21"/>
          <w:szCs w:val="21"/>
          <w:lang w:val="en-US" w:eastAsia="zh-CN"/>
        </w:rPr>
        <w:t>7</w:t>
      </w:r>
      <w:r>
        <w:rPr>
          <w:rFonts w:hint="eastAsia" w:asciiTheme="minorEastAsia" w:hAnsiTheme="minorEastAsia" w:eastAsiaTheme="minorEastAsia"/>
          <w:b/>
          <w:color w:val="000000" w:themeColor="text1"/>
          <w:sz w:val="21"/>
          <w:szCs w:val="21"/>
        </w:rPr>
        <w:t>月</w:t>
      </w:r>
      <w:r>
        <w:rPr>
          <w:rFonts w:hint="eastAsia" w:asciiTheme="minorEastAsia" w:hAnsiTheme="minorEastAsia" w:eastAsiaTheme="minorEastAsia"/>
          <w:b/>
          <w:color w:val="000000" w:themeColor="text1"/>
          <w:sz w:val="21"/>
          <w:szCs w:val="21"/>
          <w:lang w:val="en-US" w:eastAsia="zh-CN"/>
        </w:rPr>
        <w:t>16</w:t>
      </w:r>
      <w:r>
        <w:rPr>
          <w:rFonts w:hint="eastAsia" w:asciiTheme="minorEastAsia" w:hAnsiTheme="minorEastAsia" w:eastAsiaTheme="minorEastAsia"/>
          <w:b/>
          <w:color w:val="000000" w:themeColor="text1"/>
          <w:sz w:val="21"/>
          <w:szCs w:val="21"/>
        </w:rPr>
        <w:t>日</w:t>
      </w:r>
    </w:p>
    <w:p>
      <w:pPr>
        <w:spacing w:beforeLines="50" w:afterLines="50"/>
        <w:ind w:left="1" w:leftChars="-405" w:hanging="851" w:hangingChars="326"/>
        <w:rPr>
          <w:b/>
          <w:color w:val="000000" w:themeColor="text1"/>
          <w:sz w:val="26"/>
          <w:szCs w:val="26"/>
          <w:highlight w:val="none"/>
        </w:rPr>
      </w:pPr>
      <w:r>
        <w:rPr>
          <w:rFonts w:hint="eastAsia"/>
          <w:b/>
          <w:color w:val="000000" w:themeColor="text1"/>
          <w:sz w:val="26"/>
          <w:szCs w:val="26"/>
        </w:rPr>
        <w:t>十五</w:t>
      </w:r>
      <w:r>
        <w:rPr>
          <w:rFonts w:hint="eastAsia"/>
          <w:b/>
          <w:color w:val="000000" w:themeColor="text1"/>
          <w:sz w:val="26"/>
          <w:szCs w:val="26"/>
          <w:highlight w:val="none"/>
        </w:rPr>
        <w:t>、纠正措施验证结论：</w:t>
      </w:r>
    </w:p>
    <w:p>
      <w:pPr>
        <w:spacing w:line="360" w:lineRule="auto"/>
        <w:rPr>
          <w:b/>
          <w:color w:val="000000" w:themeColor="text1"/>
          <w:szCs w:val="21"/>
          <w:highlight w:val="none"/>
        </w:rPr>
      </w:pPr>
      <w:r>
        <w:rPr>
          <w:rFonts w:hint="eastAsia"/>
          <w:b/>
          <w:color w:val="000000" w:themeColor="text1"/>
          <w:szCs w:val="21"/>
          <w:highlight w:val="none"/>
        </w:rPr>
        <w:t>1.  审核中发现的</w:t>
      </w:r>
      <w:r>
        <w:rPr>
          <w:rFonts w:hint="eastAsia"/>
          <w:b/>
          <w:color w:val="000000" w:themeColor="text1"/>
          <w:szCs w:val="21"/>
          <w:highlight w:val="none"/>
          <w:lang w:eastAsia="zh-CN"/>
        </w:rPr>
        <w:t>■</w:t>
      </w:r>
      <w:r>
        <w:rPr>
          <w:rFonts w:hint="eastAsia"/>
          <w:b/>
          <w:color w:val="000000" w:themeColor="text1"/>
          <w:szCs w:val="21"/>
          <w:highlight w:val="none"/>
        </w:rPr>
        <w:t>QMS( 1 )个一般不符合，( 0 )个严重不符合，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EMS(</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OHSMS(</w:t>
      </w:r>
      <w:r>
        <w:rPr>
          <w:rFonts w:hint="eastAsia"/>
          <w:b/>
          <w:color w:val="000000" w:themeColor="text1"/>
          <w:szCs w:val="21"/>
          <w:highlight w:val="none"/>
          <w:lang w:val="en-US" w:eastAsia="zh-CN"/>
        </w:rPr>
        <w:t xml:space="preserve"> </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 xml:space="preserve"> </w:t>
      </w:r>
      <w:r>
        <w:rPr>
          <w:rFonts w:hint="eastAsia"/>
          <w:b/>
          <w:color w:val="000000" w:themeColor="text1"/>
          <w:szCs w:val="21"/>
          <w:highlight w:val="none"/>
        </w:rPr>
        <w:t>)个严重不符合，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721360</wp:posOffset>
            </wp:positionH>
            <wp:positionV relativeFrom="paragraph">
              <wp:posOffset>88265</wp:posOffset>
            </wp:positionV>
            <wp:extent cx="746760" cy="467360"/>
            <wp:effectExtent l="0" t="0" r="0" b="5080"/>
            <wp:wrapNone/>
            <wp:docPr id="6"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新文档 2020-01-09 10.59.53_副本.jpg"/>
                    <pic:cNvPicPr>
                      <a:picLocks noChangeAspect="1" noChangeArrowheads="1"/>
                    </pic:cNvPicPr>
                  </pic:nvPicPr>
                  <pic:blipFill>
                    <a:blip r:embed="rId6" cstate="print"/>
                    <a:srcRect/>
                    <a:stretch>
                      <a:fillRect/>
                    </a:stretch>
                  </pic:blipFill>
                  <pic:spPr>
                    <a:xfrm>
                      <a:off x="0" y="0"/>
                      <a:ext cx="746760" cy="46736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r>
        <w:rPr>
          <w:rFonts w:hint="eastAsia"/>
          <w:b/>
          <w:color w:val="000000" w:themeColor="text1"/>
          <w:szCs w:val="21"/>
          <w:highlight w:val="none"/>
        </w:rPr>
        <w:t xml:space="preserve">        日期:</w:t>
      </w:r>
      <w:r>
        <w:rPr>
          <w:rFonts w:hint="eastAsia"/>
          <w:b/>
          <w:color w:val="000000" w:themeColor="text1"/>
          <w:highlight w:val="none"/>
        </w:rPr>
        <w:t xml:space="preserve"> </w:t>
      </w:r>
      <w:r>
        <w:rPr>
          <w:rFonts w:hint="eastAsia"/>
          <w:b/>
          <w:color w:val="000000" w:themeColor="text1"/>
          <w:highlight w:val="none"/>
          <w:lang w:val="en-US" w:eastAsia="zh-CN"/>
        </w:rPr>
        <w:t xml:space="preserve"> </w:t>
      </w:r>
      <w:r>
        <w:rPr>
          <w:rFonts w:hint="eastAsia"/>
          <w:b/>
          <w:color w:val="000000" w:themeColor="text1"/>
          <w:highlight w:val="none"/>
        </w:rPr>
        <w:t>202</w:t>
      </w:r>
      <w:r>
        <w:rPr>
          <w:rFonts w:hint="eastAsia"/>
          <w:b/>
          <w:color w:val="000000" w:themeColor="text1"/>
          <w:highlight w:val="none"/>
          <w:lang w:val="en-US" w:eastAsia="zh-CN"/>
        </w:rPr>
        <w:t>1</w:t>
      </w:r>
      <w:r>
        <w:rPr>
          <w:rFonts w:hint="eastAsia"/>
          <w:b/>
          <w:color w:val="000000" w:themeColor="text1"/>
          <w:highlight w:val="none"/>
        </w:rPr>
        <w:t xml:space="preserve"> </w:t>
      </w:r>
      <w:r>
        <w:rPr>
          <w:rFonts w:hint="eastAsia" w:asciiTheme="minorEastAsia" w:hAnsiTheme="minorEastAsia" w:eastAsiaTheme="minorEastAsia"/>
          <w:b/>
          <w:color w:val="000000" w:themeColor="text1"/>
          <w:highlight w:val="none"/>
        </w:rPr>
        <w:t>年</w:t>
      </w:r>
      <w:r>
        <w:rPr>
          <w:rFonts w:hint="eastAsia" w:asciiTheme="minorEastAsia" w:hAnsiTheme="minorEastAsia" w:eastAsiaTheme="minorEastAsia"/>
          <w:b/>
          <w:color w:val="000000" w:themeColor="text1"/>
          <w:highlight w:val="none"/>
          <w:lang w:val="en-US" w:eastAsia="zh-CN"/>
        </w:rPr>
        <w:t>7</w:t>
      </w:r>
      <w:r>
        <w:rPr>
          <w:rFonts w:hint="eastAsia" w:asciiTheme="minorEastAsia" w:hAnsiTheme="minorEastAsia" w:eastAsiaTheme="minorEastAsia"/>
          <w:b/>
          <w:color w:val="000000" w:themeColor="text1"/>
          <w:highlight w:val="none"/>
        </w:rPr>
        <w:t>月</w:t>
      </w:r>
      <w:r>
        <w:rPr>
          <w:rFonts w:hint="eastAsia" w:asciiTheme="minorEastAsia" w:hAnsiTheme="minorEastAsia" w:eastAsiaTheme="minorEastAsia"/>
          <w:b/>
          <w:color w:val="000000" w:themeColor="text1"/>
          <w:highlight w:val="none"/>
          <w:lang w:val="en-US" w:eastAsia="zh-CN"/>
        </w:rPr>
        <w:t>19</w:t>
      </w:r>
      <w:r>
        <w:rPr>
          <w:rFonts w:hint="eastAsia" w:asciiTheme="minorEastAsia" w:hAnsiTheme="minorEastAsia" w:eastAsiaTheme="minorEastAsia"/>
          <w:b/>
          <w:color w:val="000000" w:themeColor="text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BDFAB"/>
    <w:multiLevelType w:val="singleLevel"/>
    <w:tmpl w:val="DA7BDFAB"/>
    <w:lvl w:ilvl="0" w:tentative="0">
      <w:start w:val="2"/>
      <w:numFmt w:val="decimal"/>
      <w:suff w:val="nothing"/>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2680083D"/>
    <w:multiLevelType w:val="singleLevel"/>
    <w:tmpl w:val="2680083D"/>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2C48AF"/>
    <w:rsid w:val="6A591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2021-07-16T06:35:40Z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8F3247E4EE8640A782AF5F1543D42A5C</vt:lpwstr>
  </property>
</Properties>
</file>