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567"/>
        <w:gridCol w:w="1134"/>
        <w:gridCol w:w="284"/>
        <w:gridCol w:w="425"/>
        <w:gridCol w:w="425"/>
        <w:gridCol w:w="42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3"/>
            <w:vAlign w:val="center"/>
          </w:tcPr>
          <w:p>
            <w:pPr>
              <w:rPr>
                <w:sz w:val="21"/>
                <w:szCs w:val="21"/>
              </w:rPr>
            </w:pPr>
            <w:r>
              <w:rPr>
                <w:sz w:val="21"/>
                <w:szCs w:val="21"/>
              </w:rPr>
              <w:t>北京中润信能源技术有限公司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r>
              <w:rPr>
                <w:sz w:val="21"/>
                <w:szCs w:val="21"/>
              </w:rPr>
              <w:t>0371-2021-Q</w:t>
            </w:r>
          </w:p>
        </w:tc>
        <w:tc>
          <w:tcPr>
            <w:tcW w:w="1701" w:type="dxa"/>
            <w:gridSpan w:val="2"/>
            <w:vAlign w:val="center"/>
          </w:tcPr>
          <w:p>
            <w:pPr>
              <w:rPr>
                <w:sz w:val="21"/>
                <w:szCs w:val="21"/>
              </w:rPr>
            </w:pPr>
            <w:r>
              <w:rPr>
                <w:rFonts w:hint="eastAsia"/>
                <w:sz w:val="21"/>
                <w:szCs w:val="21"/>
              </w:rPr>
              <w:t>审核领域</w:t>
            </w:r>
          </w:p>
        </w:tc>
        <w:tc>
          <w:tcPr>
            <w:tcW w:w="4489" w:type="dxa"/>
            <w:gridSpan w:val="7"/>
            <w:vAlign w:val="center"/>
          </w:tcPr>
          <w:p>
            <w:pPr>
              <w:rPr>
                <w:sz w:val="21"/>
                <w:szCs w:val="21"/>
              </w:rPr>
            </w:pPr>
            <w:bookmarkStart w:id="0" w:name="Q勾选"/>
            <w:r>
              <w:rPr>
                <w:rFonts w:hint="eastAsia"/>
                <w:sz w:val="21"/>
                <w:szCs w:val="21"/>
              </w:rPr>
              <w:t>■</w:t>
            </w:r>
            <w:bookmarkEnd w:id="0"/>
            <w:r>
              <w:rPr>
                <w:spacing w:val="-2"/>
                <w:sz w:val="21"/>
                <w:szCs w:val="21"/>
              </w:rPr>
              <w:t>QMS</w:t>
            </w:r>
            <w:bookmarkStart w:id="1" w:name="E勾选"/>
            <w:r>
              <w:rPr>
                <w:rFonts w:hint="eastAsia"/>
                <w:sz w:val="21"/>
                <w:szCs w:val="21"/>
              </w:rPr>
              <w:t>□</w:t>
            </w:r>
            <w:bookmarkEnd w:id="1"/>
            <w:r>
              <w:rPr>
                <w:spacing w:val="-2"/>
                <w:sz w:val="21"/>
                <w:szCs w:val="21"/>
              </w:rPr>
              <w:t>EMS</w:t>
            </w:r>
            <w:bookmarkStart w:id="2" w:name="S勾选"/>
            <w:r>
              <w:rPr>
                <w:rFonts w:hint="eastAsia"/>
                <w:sz w:val="21"/>
                <w:szCs w:val="21"/>
              </w:rPr>
              <w:t>□</w:t>
            </w:r>
            <w:bookmarkEnd w:id="2"/>
            <w:r>
              <w:rPr>
                <w:spacing w:val="-2"/>
                <w:sz w:val="21"/>
                <w:szCs w:val="21"/>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r>
              <w:rPr>
                <w:sz w:val="21"/>
                <w:szCs w:val="21"/>
              </w:rPr>
              <w:t>王瑞峰</w:t>
            </w:r>
          </w:p>
        </w:tc>
        <w:tc>
          <w:tcPr>
            <w:tcW w:w="1701" w:type="dxa"/>
            <w:gridSpan w:val="2"/>
            <w:vAlign w:val="center"/>
          </w:tcPr>
          <w:p>
            <w:pPr>
              <w:rPr>
                <w:sz w:val="21"/>
                <w:szCs w:val="21"/>
              </w:rPr>
            </w:pPr>
            <w:r>
              <w:rPr>
                <w:rFonts w:hint="eastAsia"/>
                <w:sz w:val="21"/>
                <w:szCs w:val="21"/>
              </w:rPr>
              <w:t>联系电话</w:t>
            </w:r>
          </w:p>
        </w:tc>
        <w:tc>
          <w:tcPr>
            <w:tcW w:w="1701" w:type="dxa"/>
            <w:gridSpan w:val="2"/>
            <w:vAlign w:val="center"/>
          </w:tcPr>
          <w:p>
            <w:pPr>
              <w:rPr>
                <w:sz w:val="21"/>
                <w:szCs w:val="21"/>
              </w:rPr>
            </w:pPr>
            <w:bookmarkStart w:id="3" w:name="联系人电话"/>
            <w:r>
              <w:rPr>
                <w:sz w:val="21"/>
                <w:szCs w:val="21"/>
              </w:rPr>
              <w:t>13581922630</w:t>
            </w:r>
            <w:bookmarkEnd w:id="3"/>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4" w:name="联系人邮箱"/>
            <w:r>
              <w:rPr>
                <w:sz w:val="21"/>
                <w:szCs w:val="21"/>
              </w:rPr>
              <w:t>bj_bj_wangruifeng@126.com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5" w:name="最高管理者"/>
            <w:bookmarkEnd w:id="5"/>
            <w:r>
              <w:rPr>
                <w:rFonts w:hint="eastAsia"/>
              </w:rPr>
              <w:t>张和茂</w:t>
            </w:r>
          </w:p>
        </w:tc>
        <w:tc>
          <w:tcPr>
            <w:tcW w:w="1701" w:type="dxa"/>
            <w:gridSpan w:val="2"/>
            <w:vAlign w:val="center"/>
          </w:tcPr>
          <w:p>
            <w:pPr>
              <w:rPr>
                <w:sz w:val="21"/>
                <w:szCs w:val="21"/>
              </w:rPr>
            </w:pPr>
            <w:r>
              <w:rPr>
                <w:rFonts w:hint="eastAsia"/>
                <w:sz w:val="21"/>
                <w:szCs w:val="21"/>
              </w:rPr>
              <w:t>传真</w:t>
            </w:r>
          </w:p>
        </w:tc>
        <w:tc>
          <w:tcPr>
            <w:tcW w:w="1701" w:type="dxa"/>
            <w:gridSpan w:val="2"/>
            <w:vAlign w:val="center"/>
          </w:tcPr>
          <w:p>
            <w:bookmarkStart w:id="6" w:name="联系人传真"/>
            <w:bookmarkEnd w:id="6"/>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3"/>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审核范围</w:t>
            </w:r>
          </w:p>
        </w:tc>
        <w:tc>
          <w:tcPr>
            <w:tcW w:w="6237" w:type="dxa"/>
            <w:gridSpan w:val="9"/>
            <w:vAlign w:val="center"/>
          </w:tcPr>
          <w:p>
            <w:r>
              <w:t>石油钻井技术服务</w:t>
            </w:r>
          </w:p>
        </w:tc>
        <w:tc>
          <w:tcPr>
            <w:tcW w:w="850" w:type="dxa"/>
            <w:gridSpan w:val="2"/>
            <w:vAlign w:val="center"/>
          </w:tcPr>
          <w:p>
            <w:r>
              <w:rPr>
                <w:rFonts w:hint="eastAsia"/>
              </w:rPr>
              <w:t>专业</w:t>
            </w:r>
          </w:p>
          <w:p>
            <w:r>
              <w:rPr>
                <w:rFonts w:hint="eastAsia"/>
              </w:rPr>
              <w:t>代码</w:t>
            </w:r>
          </w:p>
        </w:tc>
        <w:tc>
          <w:tcPr>
            <w:tcW w:w="1654" w:type="dxa"/>
            <w:gridSpan w:val="2"/>
            <w:vAlign w:val="center"/>
          </w:tcPr>
          <w:p>
            <w: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485" w:type="dxa"/>
            <w:gridSpan w:val="3"/>
            <w:vAlign w:val="center"/>
          </w:tcPr>
          <w:p>
            <w:r>
              <w:rPr>
                <w:rFonts w:hint="eastAsia"/>
              </w:rPr>
              <w:t>审核准则</w:t>
            </w:r>
          </w:p>
        </w:tc>
        <w:tc>
          <w:tcPr>
            <w:tcW w:w="8741" w:type="dxa"/>
            <w:gridSpan w:val="13"/>
            <w:vAlign w:val="center"/>
          </w:tcPr>
          <w:p>
            <w:pPr>
              <w:rPr>
                <w:rFonts w:ascii="宋体" w:hAnsi="宋体"/>
                <w:b/>
                <w:sz w:val="21"/>
                <w:szCs w:val="21"/>
              </w:rPr>
            </w:pPr>
            <w:bookmarkStart w:id="7" w:name="审核依据"/>
            <w:r>
              <w:rPr>
                <w:rFonts w:hint="eastAsia" w:ascii="宋体" w:hAnsi="宋体"/>
                <w:b/>
                <w:sz w:val="21"/>
                <w:szCs w:val="21"/>
              </w:rPr>
              <w:t>GB/T19001-2016/ISO9001:2015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3"/>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8" w:name="审核日期安排"/>
            <w:r>
              <w:rPr>
                <w:rFonts w:hint="eastAsia"/>
                <w:b/>
                <w:sz w:val="21"/>
                <w:szCs w:val="21"/>
              </w:rPr>
              <w:t>2021年07月23日 上午至2021年07月23日 上午 (共0.5天)</w:t>
            </w:r>
            <w:bookmarkEnd w:id="8"/>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3"/>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6"/>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3402" w:type="dxa"/>
            <w:gridSpan w:val="4"/>
            <w:vAlign w:val="center"/>
          </w:tcPr>
          <w:p>
            <w:pPr>
              <w:jc w:val="center"/>
              <w:rPr>
                <w:sz w:val="21"/>
                <w:szCs w:val="21"/>
              </w:rPr>
            </w:pPr>
            <w:r>
              <w:rPr>
                <w:rFonts w:hint="eastAsia"/>
                <w:sz w:val="21"/>
                <w:szCs w:val="21"/>
              </w:rPr>
              <w:t>专业代码</w:t>
            </w:r>
          </w:p>
        </w:tc>
        <w:tc>
          <w:tcPr>
            <w:tcW w:w="1559" w:type="dxa"/>
            <w:gridSpan w:val="4"/>
            <w:vAlign w:val="center"/>
          </w:tcPr>
          <w:p>
            <w:pPr>
              <w:jc w:val="center"/>
              <w:rPr>
                <w:sz w:val="21"/>
                <w:szCs w:val="21"/>
              </w:rPr>
            </w:pPr>
            <w:r>
              <w:rPr>
                <w:rFonts w:hint="eastAsia"/>
                <w:sz w:val="21"/>
                <w:szCs w:val="21"/>
              </w:rPr>
              <w:t>联系电话</w:t>
            </w:r>
          </w:p>
        </w:tc>
        <w:tc>
          <w:tcPr>
            <w:tcW w:w="1229" w:type="dxa"/>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李京田</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女</w:t>
            </w:r>
          </w:p>
        </w:tc>
        <w:tc>
          <w:tcPr>
            <w:tcW w:w="1141" w:type="dxa"/>
            <w:gridSpan w:val="2"/>
            <w:vAlign w:val="center"/>
          </w:tcPr>
          <w:p>
            <w:pPr>
              <w:jc w:val="center"/>
              <w:rPr>
                <w:sz w:val="21"/>
                <w:szCs w:val="21"/>
              </w:rPr>
            </w:pPr>
            <w:r>
              <w:rPr>
                <w:sz w:val="21"/>
                <w:szCs w:val="21"/>
              </w:rPr>
              <w:t>审核员</w:t>
            </w:r>
          </w:p>
        </w:tc>
        <w:tc>
          <w:tcPr>
            <w:tcW w:w="3402" w:type="dxa"/>
            <w:gridSpan w:val="4"/>
            <w:vAlign w:val="center"/>
          </w:tcPr>
          <w:p>
            <w:pPr>
              <w:jc w:val="center"/>
              <w:rPr>
                <w:sz w:val="21"/>
                <w:szCs w:val="21"/>
              </w:rPr>
            </w:pPr>
            <w:r>
              <w:rPr>
                <w:sz w:val="21"/>
                <w:szCs w:val="21"/>
              </w:rPr>
              <w:t>34.01.02</w:t>
            </w:r>
          </w:p>
        </w:tc>
        <w:tc>
          <w:tcPr>
            <w:tcW w:w="1559" w:type="dxa"/>
            <w:gridSpan w:val="4"/>
            <w:vAlign w:val="center"/>
          </w:tcPr>
          <w:p>
            <w:pPr>
              <w:jc w:val="center"/>
              <w:rPr>
                <w:sz w:val="21"/>
                <w:szCs w:val="21"/>
              </w:rPr>
            </w:pPr>
            <w:r>
              <w:rPr>
                <w:sz w:val="21"/>
                <w:szCs w:val="21"/>
              </w:rPr>
              <w:t>13601093935</w:t>
            </w:r>
          </w:p>
        </w:tc>
        <w:tc>
          <w:tcPr>
            <w:tcW w:w="1229" w:type="dxa"/>
            <w:vAlign w:val="center"/>
          </w:tcPr>
          <w:p>
            <w:pPr>
              <w:jc w:val="center"/>
              <w:rPr>
                <w:sz w:val="21"/>
                <w:szCs w:val="21"/>
              </w:rPr>
            </w:pPr>
            <w:r>
              <w:rPr>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780" w:type="dxa"/>
            <w:gridSpan w:val="2"/>
            <w:vAlign w:val="center"/>
          </w:tcPr>
          <w:p/>
        </w:tc>
        <w:tc>
          <w:tcPr>
            <w:tcW w:w="720" w:type="dxa"/>
            <w:vAlign w:val="center"/>
          </w:tcPr>
          <w:p/>
        </w:tc>
        <w:tc>
          <w:tcPr>
            <w:tcW w:w="1141" w:type="dxa"/>
            <w:gridSpan w:val="2"/>
            <w:vAlign w:val="center"/>
          </w:tcPr>
          <w:p/>
        </w:tc>
        <w:tc>
          <w:tcPr>
            <w:tcW w:w="3402" w:type="dxa"/>
            <w:gridSpan w:val="4"/>
            <w:vAlign w:val="center"/>
          </w:tcPr>
          <w:p/>
        </w:tc>
        <w:tc>
          <w:tcPr>
            <w:tcW w:w="1559" w:type="dxa"/>
            <w:gridSpan w:val="4"/>
            <w:vAlign w:val="center"/>
          </w:tcPr>
          <w:p/>
        </w:tc>
        <w:tc>
          <w:tcPr>
            <w:tcW w:w="122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6"/>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rPr>
                <w:rFonts w:hint="default" w:eastAsia="宋体"/>
                <w:sz w:val="21"/>
                <w:szCs w:val="21"/>
                <w:lang w:val="en-US" w:eastAsia="zh-CN"/>
              </w:rPr>
            </w:pPr>
            <w:r>
              <w:rPr>
                <w:rFonts w:hint="eastAsia"/>
                <w:sz w:val="21"/>
                <w:szCs w:val="21"/>
                <w:lang w:val="en-US" w:eastAsia="zh-CN"/>
              </w:rPr>
              <w:t>李京田</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2"/>
            <w:vMerge w:val="restart"/>
            <w:vAlign w:val="center"/>
          </w:tcPr>
          <w:p>
            <w:pPr>
              <w:rPr>
                <w:sz w:val="21"/>
                <w:szCs w:val="21"/>
              </w:rPr>
            </w:pP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sz w:val="21"/>
                <w:szCs w:val="21"/>
              </w:rPr>
            </w:pPr>
          </w:p>
        </w:tc>
        <w:tc>
          <w:tcPr>
            <w:tcW w:w="1134" w:type="dxa"/>
            <w:gridSpan w:val="2"/>
            <w:vMerge w:val="continue"/>
            <w:vAlign w:val="center"/>
          </w:tcPr>
          <w:p>
            <w:pPr>
              <w:spacing w:line="360" w:lineRule="auto"/>
              <w:rPr>
                <w:sz w:val="21"/>
                <w:szCs w:val="21"/>
              </w:rPr>
            </w:pPr>
          </w:p>
        </w:tc>
        <w:tc>
          <w:tcPr>
            <w:tcW w:w="2126" w:type="dxa"/>
            <w:gridSpan w:val="2"/>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2021.7.22</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2"/>
            <w:vAlign w:val="center"/>
          </w:tcPr>
          <w:p>
            <w:pPr>
              <w:spacing w:line="360" w:lineRule="auto"/>
              <w:rPr>
                <w:sz w:val="21"/>
                <w:szCs w:val="21"/>
              </w:rPr>
            </w:pP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rPr>
                <w:rFonts w:hint="default" w:eastAsia="宋体"/>
                <w:lang w:val="en-US" w:eastAsia="zh-CN"/>
              </w:rPr>
            </w:pPr>
            <w:r>
              <w:rPr>
                <w:rFonts w:hint="eastAsia"/>
                <w:lang w:val="en-US" w:eastAsia="zh-CN"/>
              </w:rPr>
              <w:t>2021.7.22</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05"/>
        <w:gridCol w:w="666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505" w:type="dxa"/>
            <w:vAlign w:val="center"/>
          </w:tcPr>
          <w:p>
            <w:pPr>
              <w:snapToGrid w:val="0"/>
              <w:spacing w:line="280" w:lineRule="exact"/>
              <w:jc w:val="center"/>
              <w:rPr>
                <w:b/>
                <w:sz w:val="22"/>
                <w:szCs w:val="22"/>
              </w:rPr>
            </w:pPr>
            <w:r>
              <w:rPr>
                <w:rFonts w:hint="eastAsia"/>
                <w:b/>
                <w:sz w:val="20"/>
              </w:rPr>
              <w:t>时间</w:t>
            </w:r>
          </w:p>
        </w:tc>
        <w:tc>
          <w:tcPr>
            <w:tcW w:w="666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vAlign w:val="center"/>
          </w:tcPr>
          <w:p>
            <w:pPr>
              <w:snapToGrid w:val="0"/>
              <w:spacing w:line="280" w:lineRule="exact"/>
              <w:jc w:val="left"/>
              <w:rPr>
                <w:rFonts w:hint="eastAsia"/>
                <w:b/>
                <w:sz w:val="20"/>
                <w:lang w:val="en-US" w:eastAsia="zh-CN"/>
              </w:rPr>
            </w:pPr>
            <w:r>
              <w:rPr>
                <w:rFonts w:hint="eastAsia"/>
                <w:b/>
                <w:sz w:val="20"/>
                <w:lang w:val="en-US" w:eastAsia="zh-CN"/>
              </w:rPr>
              <w:t>2021.</w:t>
            </w:r>
          </w:p>
          <w:p>
            <w:pPr>
              <w:snapToGrid w:val="0"/>
              <w:spacing w:line="280" w:lineRule="exact"/>
              <w:jc w:val="left"/>
              <w:rPr>
                <w:rFonts w:hint="default" w:eastAsia="宋体"/>
                <w:b/>
                <w:sz w:val="20"/>
                <w:lang w:val="en-US" w:eastAsia="zh-CN"/>
              </w:rPr>
            </w:pPr>
            <w:r>
              <w:rPr>
                <w:rFonts w:hint="eastAsia"/>
                <w:b/>
                <w:sz w:val="20"/>
                <w:lang w:val="en-US" w:eastAsia="zh-CN"/>
              </w:rPr>
              <w:t>7.23</w:t>
            </w: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8：30-9：00</w:t>
            </w:r>
          </w:p>
        </w:tc>
        <w:tc>
          <w:tcPr>
            <w:tcW w:w="6665" w:type="dxa"/>
            <w:vAlign w:val="center"/>
          </w:tcPr>
          <w:p>
            <w:pPr>
              <w:snapToGrid w:val="0"/>
              <w:spacing w:before="60" w:after="60"/>
              <w:jc w:val="left"/>
              <w:rPr>
                <w:rFonts w:hint="eastAsia" w:ascii="宋体" w:hAnsi="宋体"/>
              </w:rPr>
            </w:pPr>
            <w:r>
              <w:rPr>
                <w:rFonts w:hint="eastAsia" w:ascii="宋体" w:hAnsi="宋体"/>
              </w:rPr>
              <w:t>首次会议</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w:t>
            </w:r>
            <w:bookmarkStart w:id="10" w:name="_GoBack"/>
            <w:r>
              <w:rPr>
                <w:rFonts w:hint="eastAsia"/>
                <w:b/>
                <w:sz w:val="20"/>
                <w:lang w:val="en-US" w:eastAsia="zh-CN"/>
              </w:rPr>
              <w:t>0:</w:t>
            </w:r>
            <w:bookmarkEnd w:id="10"/>
            <w:r>
              <w:rPr>
                <w:rFonts w:hint="eastAsia"/>
                <w:b/>
                <w:sz w:val="20"/>
                <w:lang w:val="en-US" w:eastAsia="zh-CN"/>
              </w:rPr>
              <w:t>00</w:t>
            </w:r>
          </w:p>
        </w:tc>
        <w:tc>
          <w:tcPr>
            <w:tcW w:w="6665" w:type="dxa"/>
            <w:vAlign w:val="center"/>
          </w:tcPr>
          <w:p>
            <w:pPr>
              <w:snapToGrid w:val="0"/>
              <w:rPr>
                <w:rFonts w:ascii="楷体_GB2312" w:eastAsia="楷体_GB2312"/>
              </w:rPr>
            </w:pPr>
            <w:r>
              <w:rPr>
                <w:rFonts w:hint="eastAsia" w:ascii="楷体_GB2312" w:eastAsia="楷体_GB2312"/>
              </w:rPr>
              <w:t>管理层</w:t>
            </w:r>
          </w:p>
          <w:p>
            <w:pPr>
              <w:pStyle w:val="12"/>
              <w:ind w:firstLine="480"/>
              <w:rPr>
                <w:rFonts w:ascii="楷体_GB2312" w:hAnsi="Calibri" w:eastAsia="楷体_GB2312"/>
              </w:rPr>
            </w:pPr>
            <w:r>
              <w:rPr>
                <w:rFonts w:hint="eastAsia" w:ascii="楷体_GB2312" w:hAnsi="Calibri" w:eastAsia="楷体_GB2312"/>
              </w:rPr>
              <w:t>了解公司基本概况，了解公司管理体系策划情况，理解组织及其环境，相关方需求和期望；确定质量管理体系的范围、方针、特别是对管理体系的关键绩效或重要的因素、过程、目标和运作的识别情况；</w:t>
            </w:r>
          </w:p>
          <w:p>
            <w:pPr>
              <w:pStyle w:val="12"/>
              <w:ind w:firstLine="480"/>
              <w:rPr>
                <w:rFonts w:ascii="楷体_GB2312" w:hAnsi="Calibri" w:eastAsia="楷体_GB2312"/>
              </w:rPr>
            </w:pPr>
            <w:r>
              <w:rPr>
                <w:rFonts w:hint="eastAsia" w:ascii="楷体_GB2312" w:hAnsi="Calibri" w:eastAsia="楷体_GB2312"/>
              </w:rPr>
              <w:t>评价是否策划和实施了内部审核；</w:t>
            </w:r>
          </w:p>
          <w:p>
            <w:pPr>
              <w:snapToGrid w:val="0"/>
              <w:spacing w:before="60" w:after="60"/>
              <w:jc w:val="left"/>
              <w:rPr>
                <w:rFonts w:hint="eastAsia" w:ascii="宋体" w:hAnsi="宋体"/>
              </w:rPr>
            </w:pPr>
            <w:r>
              <w:rPr>
                <w:rFonts w:hint="eastAsia" w:ascii="楷体_GB2312" w:hAnsi="Calibri" w:eastAsia="楷体_GB2312"/>
              </w:rPr>
              <w:t>了解和评审公司是否策划和实施了管理评审</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10:00-11:00</w:t>
            </w:r>
          </w:p>
        </w:tc>
        <w:tc>
          <w:tcPr>
            <w:tcW w:w="6665" w:type="dxa"/>
            <w:vAlign w:val="center"/>
          </w:tcPr>
          <w:p>
            <w:pPr>
              <w:snapToGrid w:val="0"/>
              <w:rPr>
                <w:rFonts w:ascii="楷体_GB2312" w:eastAsia="楷体_GB2312"/>
              </w:rPr>
            </w:pPr>
            <w:r>
              <w:rPr>
                <w:rFonts w:hint="eastAsia" w:ascii="楷体_GB2312" w:eastAsia="楷体_GB2312"/>
                <w:szCs w:val="22"/>
                <w:lang w:val="en-US" w:eastAsia="zh-CN"/>
              </w:rPr>
              <w:t>综合部</w:t>
            </w:r>
            <w:r>
              <w:rPr>
                <w:rFonts w:hint="eastAsia" w:ascii="楷体_GB2312" w:eastAsia="楷体_GB2312"/>
              </w:rPr>
              <w:t>及现场参观</w:t>
            </w:r>
          </w:p>
          <w:p>
            <w:pPr>
              <w:pStyle w:val="12"/>
              <w:ind w:firstLine="480"/>
              <w:rPr>
                <w:rFonts w:hint="eastAsia" w:ascii="楷体_GB2312" w:hAnsi="Calibri" w:eastAsia="楷体_GB2312"/>
              </w:rPr>
            </w:pPr>
            <w:r>
              <w:rPr>
                <w:rFonts w:hint="eastAsia" w:ascii="楷体_GB2312" w:hAnsi="Calibri" w:eastAsia="楷体_GB2312"/>
              </w:rPr>
              <w:t>公司过程识别情况</w:t>
            </w:r>
          </w:p>
          <w:p>
            <w:pPr>
              <w:pStyle w:val="12"/>
              <w:ind w:firstLine="480"/>
              <w:rPr>
                <w:rFonts w:hint="eastAsia" w:ascii="楷体_GB2312" w:hAnsi="Calibri" w:eastAsia="楷体_GB2312"/>
              </w:rPr>
            </w:pPr>
            <w:r>
              <w:rPr>
                <w:rFonts w:hint="eastAsia" w:ascii="楷体_GB2312" w:hAnsi="Calibri" w:eastAsia="楷体_GB2312"/>
              </w:rPr>
              <w:t>目标的策划和实施情况 内部审核策划和实施情况</w:t>
            </w:r>
          </w:p>
          <w:p>
            <w:pPr>
              <w:pStyle w:val="12"/>
              <w:ind w:firstLine="480"/>
              <w:rPr>
                <w:rFonts w:hint="eastAsia" w:ascii="楷体_GB2312" w:hAnsi="Calibri" w:eastAsia="楷体_GB2312"/>
              </w:rPr>
            </w:pPr>
            <w:r>
              <w:rPr>
                <w:rFonts w:hint="eastAsia" w:ascii="楷体_GB2312" w:hAnsi="Calibri" w:eastAsia="楷体_GB2312"/>
              </w:rPr>
              <w:t>收集关于</w:t>
            </w:r>
            <w:bookmarkStart w:id="9" w:name="审核范围"/>
            <w:r>
              <w:rPr>
                <w:rFonts w:hint="eastAsia" w:ascii="楷体_GB2312" w:hAnsi="Calibri" w:eastAsia="楷体_GB2312"/>
              </w:rPr>
              <w:t>石油钻井技术服务</w:t>
            </w:r>
            <w:bookmarkEnd w:id="9"/>
            <w:r>
              <w:rPr>
                <w:rFonts w:hint="eastAsia" w:ascii="楷体_GB2312" w:hAnsi="Calibri" w:eastAsia="楷体_GB2312"/>
              </w:rPr>
              <w:t>的管理体系范围的必要信息，包括：</w:t>
            </w:r>
          </w:p>
          <w:p>
            <w:pPr>
              <w:pStyle w:val="12"/>
              <w:ind w:firstLine="480"/>
              <w:rPr>
                <w:rFonts w:hint="eastAsia" w:ascii="楷体_GB2312" w:hAnsi="Calibri" w:eastAsia="楷体_GB2312"/>
              </w:rPr>
            </w:pPr>
            <w:r>
              <w:rPr>
                <w:rFonts w:hint="eastAsia" w:ascii="楷体_GB2312" w:hAnsi="Calibri" w:eastAsia="楷体_GB2312"/>
              </w:rPr>
              <w:t>- 客户的场所</w:t>
            </w:r>
          </w:p>
          <w:p>
            <w:pPr>
              <w:pStyle w:val="12"/>
              <w:ind w:firstLine="480"/>
              <w:rPr>
                <w:rFonts w:hint="eastAsia" w:ascii="楷体_GB2312" w:hAnsi="Calibri" w:eastAsia="楷体_GB2312"/>
              </w:rPr>
            </w:pPr>
            <w:r>
              <w:rPr>
                <w:rFonts w:hint="eastAsia" w:ascii="楷体_GB2312" w:hAnsi="Calibri" w:eastAsia="楷体_GB2312"/>
              </w:rPr>
              <w:t>- 所建立的控制的水平</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11:00-12:00</w:t>
            </w:r>
          </w:p>
        </w:tc>
        <w:tc>
          <w:tcPr>
            <w:tcW w:w="6665" w:type="dxa"/>
            <w:vAlign w:val="center"/>
          </w:tcPr>
          <w:p>
            <w:pPr>
              <w:autoSpaceDE w:val="0"/>
              <w:autoSpaceDN w:val="0"/>
              <w:adjustRightInd w:val="0"/>
              <w:jc w:val="left"/>
              <w:rPr>
                <w:rFonts w:hint="eastAsia" w:ascii="楷体_GB2312" w:hAnsi="Calibri" w:eastAsia="楷体_GB2312"/>
                <w:szCs w:val="22"/>
              </w:rPr>
            </w:pPr>
            <w:r>
              <w:rPr>
                <w:rFonts w:hint="eastAsia" w:ascii="楷体_GB2312" w:hAnsi="Calibri" w:eastAsia="楷体_GB2312"/>
                <w:szCs w:val="22"/>
                <w:lang w:eastAsia="zh-CN"/>
              </w:rPr>
              <w:t>技术部</w:t>
            </w:r>
            <w:r>
              <w:rPr>
                <w:rFonts w:hint="eastAsia" w:ascii="楷体_GB2312" w:hAnsi="Calibri" w:eastAsia="楷体_GB2312"/>
                <w:szCs w:val="22"/>
              </w:rPr>
              <w:t>现场参观</w:t>
            </w:r>
          </w:p>
          <w:p>
            <w:pPr>
              <w:autoSpaceDE w:val="0"/>
              <w:autoSpaceDN w:val="0"/>
              <w:adjustRightInd w:val="0"/>
              <w:jc w:val="left"/>
              <w:rPr>
                <w:rFonts w:hint="eastAsia" w:ascii="楷体_GB2312" w:eastAsia="楷体_GB2312"/>
                <w:lang w:eastAsia="zh-CN"/>
              </w:rPr>
            </w:pPr>
            <w:r>
              <w:rPr>
                <w:rFonts w:hint="eastAsia" w:ascii="楷体_GB2312" w:hAnsi="Calibri" w:eastAsia="楷体_GB2312"/>
                <w:szCs w:val="22"/>
              </w:rPr>
              <w:t>了解</w:t>
            </w:r>
            <w:r>
              <w:rPr>
                <w:rFonts w:hint="eastAsia" w:ascii="楷体_GB2312" w:hAnsi="Calibri" w:eastAsia="楷体_GB2312"/>
                <w:szCs w:val="22"/>
                <w:lang w:eastAsia="zh-CN"/>
              </w:rPr>
              <w:t>技术部</w:t>
            </w:r>
            <w:r>
              <w:rPr>
                <w:rFonts w:hint="eastAsia" w:ascii="楷体_GB2312" w:hAnsi="Calibri" w:eastAsia="楷体_GB2312"/>
                <w:szCs w:val="22"/>
              </w:rPr>
              <w:t>的管理体</w:t>
            </w:r>
            <w:r>
              <w:rPr>
                <w:rFonts w:hint="eastAsia" w:ascii="楷体_GB2312" w:eastAsia="楷体_GB2312"/>
              </w:rPr>
              <w:t>系标准或过程控制情况，以及其他规范性文件充分了解客户的管理体系和现场运作</w:t>
            </w:r>
            <w:r>
              <w:rPr>
                <w:rFonts w:hint="eastAsia" w:ascii="楷体_GB2312" w:eastAsia="楷体_GB2312"/>
                <w:lang w:eastAsia="zh-CN"/>
              </w:rPr>
              <w:t>。</w:t>
            </w:r>
          </w:p>
          <w:p>
            <w:pPr>
              <w:snapToGrid w:val="0"/>
              <w:spacing w:before="60" w:after="60"/>
              <w:jc w:val="left"/>
              <w:rPr>
                <w:rFonts w:hint="eastAsia" w:ascii="楷体_GB2312" w:eastAsia="楷体_GB2312"/>
                <w:szCs w:val="22"/>
              </w:rPr>
            </w:pPr>
            <w:r>
              <w:rPr>
                <w:rFonts w:hint="eastAsia" w:ascii="楷体_GB2312" w:eastAsia="楷体_GB2312"/>
                <w:szCs w:val="22"/>
              </w:rPr>
              <w:t>产品/服务实现过程、外包过程与组织宗旨相关并影响其实现管理体系预期结果的各种外部和内部问题的确定情况：</w:t>
            </w:r>
          </w:p>
          <w:p>
            <w:pPr>
              <w:snapToGrid w:val="0"/>
              <w:spacing w:before="60" w:after="60"/>
              <w:jc w:val="left"/>
              <w:rPr>
                <w:rFonts w:hint="eastAsia" w:ascii="楷体_GB2312" w:eastAsia="楷体_GB2312"/>
                <w:szCs w:val="22"/>
                <w:lang w:eastAsia="zh-CN"/>
              </w:rPr>
            </w:pPr>
            <w:r>
              <w:rPr>
                <w:rFonts w:hint="eastAsia" w:ascii="楷体_GB2312" w:eastAsia="楷体_GB2312"/>
                <w:szCs w:val="22"/>
              </w:rPr>
              <w:t>查组织考虑和确定的风险和机遇、及确定的应措施：</w:t>
            </w:r>
          </w:p>
          <w:p>
            <w:pPr>
              <w:snapToGrid w:val="0"/>
              <w:spacing w:before="60" w:after="60"/>
              <w:jc w:val="left"/>
              <w:rPr>
                <w:rFonts w:hint="eastAsia" w:ascii="宋体" w:hAnsi="宋体"/>
              </w:rPr>
            </w:pPr>
            <w:r>
              <w:rPr>
                <w:rFonts w:hint="eastAsia" w:ascii="楷体_GB2312" w:eastAsia="楷体_GB2312"/>
              </w:rPr>
              <w:t>以便为策划第二阶段提供关注点；</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505"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12：00-12：30</w:t>
            </w:r>
          </w:p>
        </w:tc>
        <w:tc>
          <w:tcPr>
            <w:tcW w:w="6665" w:type="dxa"/>
            <w:vAlign w:val="center"/>
          </w:tcPr>
          <w:p>
            <w:pPr>
              <w:snapToGrid w:val="0"/>
              <w:spacing w:before="60" w:after="60"/>
              <w:jc w:val="left"/>
              <w:rPr>
                <w:rFonts w:hint="default" w:ascii="楷体_GB2312" w:eastAsia="楷体_GB2312"/>
                <w:szCs w:val="22"/>
                <w:lang w:val="en-US" w:eastAsia="zh-CN"/>
              </w:rPr>
            </w:pPr>
            <w:r>
              <w:rPr>
                <w:rFonts w:hint="eastAsia" w:ascii="楷体_GB2312" w:eastAsia="楷体_GB2312"/>
                <w:szCs w:val="22"/>
              </w:rPr>
              <w:t>与管理层沟通</w:t>
            </w:r>
            <w:r>
              <w:rPr>
                <w:rFonts w:hint="eastAsia" w:ascii="楷体_GB2312" w:eastAsia="楷体_GB2312"/>
                <w:szCs w:val="22"/>
                <w:lang w:val="en-US" w:eastAsia="zh-CN"/>
              </w:rPr>
              <w:t xml:space="preserve">  </w:t>
            </w:r>
            <w:r>
              <w:rPr>
                <w:rFonts w:hint="eastAsia" w:ascii="楷体_GB2312" w:eastAsia="楷体_GB2312"/>
                <w:szCs w:val="22"/>
              </w:rPr>
              <w:t>末次会议</w:t>
            </w:r>
          </w:p>
          <w:p>
            <w:pPr>
              <w:snapToGrid w:val="0"/>
              <w:spacing w:line="280" w:lineRule="exact"/>
              <w:jc w:val="left"/>
              <w:rPr>
                <w:b/>
                <w:sz w:val="20"/>
              </w:rPr>
            </w:pP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A</w:t>
            </w:r>
          </w:p>
        </w:tc>
      </w:tr>
    </w:tbl>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7F3AD7"/>
    <w:rsid w:val="47E10521"/>
    <w:rsid w:val="59CD25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2</TotalTime>
  <ScaleCrop>false</ScaleCrop>
  <LinksUpToDate>false</LinksUpToDate>
  <CharactersWithSpaces>1267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叶子</cp:lastModifiedBy>
  <cp:lastPrinted>2019-03-27T03:10:00Z</cp:lastPrinted>
  <dcterms:modified xsi:type="dcterms:W3CDTF">2021-07-26T14:51:22Z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1D68FB6989DE4A48947F9247B8059DF4</vt:lpwstr>
  </property>
</Properties>
</file>