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68"/>
        <w:gridCol w:w="274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北京诺世达科技有限公司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北京市朝阳区高碑店东A区33-9（167号）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刘曙寒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13911203846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100025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刘伟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north_starbj@126.com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0395-2020-EO-2021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bookmarkStart w:id="20" w:name="_GoBack"/>
            <w:bookmarkEnd w:id="20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14" w:name="审核范围"/>
            <w:r>
              <w:rPr>
                <w:rFonts w:hint="eastAsia" w:ascii="宋体" w:hAnsi="宋体"/>
                <w:szCs w:val="21"/>
              </w:rPr>
              <w:t>E：五金交电、电力设备（电力设备辅材）的销售；计算机软件的技术服务（运维）及相关环境管理活动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O：五金交电、电力设备（电力设备辅材）的销售；计算机软件的技术服务（运维）及相关职业健康安全管理活动</w:t>
            </w:r>
            <w:bookmarkEnd w:id="14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E：29.12.00;33.02.04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O：29.12.00;33.02.04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2021年07月27日 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2021年07月27日 下午</w:t>
            </w:r>
            <w:bookmarkEnd w:id="18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0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90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90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7.27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（含员工代表）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S:4.1/4.2/4.3/4/4/5.1/5.2/5.3/6.1.1/6.1.2/6.1..3/6.1.4/6.2/7.1/7.4/9.1.1/9.3/10.1/10.3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S:5.4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资质验证/范围再确认/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</w:t>
            </w:r>
            <w:r>
              <w:rPr>
                <w:rFonts w:hint="eastAsia"/>
                <w:color w:val="auto"/>
                <w:lang w:val="en-US" w:eastAsia="zh-CN"/>
              </w:rPr>
              <w:t>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：目标、方案；环境因素/危险源识别评价；合规义务；法律法规要求；绩效的监视和测量；合规性评价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;内部审核等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5.3/6.1.2/6.1.3/6.2/7.2/7.3/7.4/7.5/8.1/8.6/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9.2/10.1/10.2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</w:t>
            </w:r>
            <w:r>
              <w:rPr>
                <w:rFonts w:hint="eastAsia"/>
                <w:color w:val="auto"/>
                <w:lang w:val="en-US" w:eastAsia="zh-CN"/>
              </w:rPr>
              <w:t>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：目标、方案；环境因素/危险源识别评价；合规义务；法律法规要求；绩效的监视和测量；合规性评价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;内部审核等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5.3/6.1.2/6.1.3/6.2/7.2/7.3/7.4/7.5/8.1/8.6/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9.2/10.1/10.2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销售部：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 xml:space="preserve">目标指标完成情况、销售情况的环境及职业健康安全的因素识别、销售的运行情况、应急情况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ES：5.3/6.2/6.1.2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与管理层沟通，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51943"/>
    <w:rsid w:val="35BB4C45"/>
    <w:rsid w:val="3B270EFD"/>
    <w:rsid w:val="47DA2058"/>
    <w:rsid w:val="5A9A75EF"/>
    <w:rsid w:val="74F26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2021-07-27T12:55:50Z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15D5AAAD01B64DC88F4E43505AAF131A</vt:lpwstr>
  </property>
</Properties>
</file>