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eastAsia"/>
          <w:b/>
          <w:bCs/>
          <w:color w:val="000000" w:themeColor="text1"/>
          <w:sz w:val="21"/>
          <w:szCs w:val="21"/>
          <w:u w:val="single"/>
          <w:lang w:val="en-US" w:eastAsia="zh-CN"/>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r>
        <w:rPr>
          <w:rFonts w:hint="eastAsia"/>
          <w:b/>
          <w:sz w:val="22"/>
          <w:szCs w:val="22"/>
          <w:lang w:eastAsia="zh-CN"/>
        </w:rPr>
        <w:t>□</w:t>
      </w:r>
      <w:r>
        <w:rPr>
          <w:b/>
          <w:sz w:val="22"/>
          <w:szCs w:val="22"/>
        </w:rPr>
        <w:t>OHSMS</w:t>
      </w:r>
      <w:r>
        <w:rPr>
          <w:rFonts w:hint="eastAsia"/>
          <w:b/>
          <w:sz w:val="22"/>
          <w:szCs w:val="22"/>
          <w:lang w:val="en-US" w:eastAsia="zh-CN"/>
        </w:rPr>
        <w:t xml:space="preserve">  </w:t>
      </w:r>
      <w:r>
        <w:rPr>
          <w:rFonts w:hint="eastAsia"/>
          <w:lang w:val="en-US" w:eastAsia="zh-CN"/>
        </w:rPr>
        <w:t xml:space="preserve"> </w:t>
      </w:r>
      <w:r>
        <w:rPr>
          <w:rFonts w:hint="eastAsia" w:ascii="宋体" w:hAnsi="宋体" w:eastAsia="宋体" w:cs="宋体"/>
          <w:lang w:val="en-US" w:eastAsia="zh-CN"/>
        </w:rPr>
        <w:t>▇</w:t>
      </w:r>
      <w:r>
        <w:rPr>
          <w:b/>
          <w:bCs/>
          <w:color w:val="000000" w:themeColor="text1"/>
          <w:sz w:val="21"/>
          <w:szCs w:val="21"/>
          <w:u w:val="single"/>
        </w:rPr>
        <w:t>EnMs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08"/>
        <w:gridCol w:w="1357"/>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17"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657" w:type="dxa"/>
            <w:gridSpan w:val="4"/>
            <w:tcBorders>
              <w:top w:val="single" w:color="auto" w:sz="8" w:space="0"/>
            </w:tcBorders>
            <w:vAlign w:val="center"/>
          </w:tcPr>
          <w:p>
            <w:pPr>
              <w:snapToGrid w:val="0"/>
              <w:spacing w:line="280" w:lineRule="exact"/>
              <w:jc w:val="center"/>
              <w:rPr>
                <w:b/>
                <w:sz w:val="20"/>
              </w:rPr>
            </w:pPr>
            <w:r>
              <w:rPr>
                <w:b/>
                <w:sz w:val="20"/>
              </w:rPr>
              <w:t>包头市中鑫安泰磁业有限公司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leftChars="0"/>
              <w:jc w:val="center"/>
              <w:rPr>
                <w:b/>
                <w:sz w:val="20"/>
              </w:rPr>
            </w:pPr>
            <w:r>
              <w:rPr>
                <w:b/>
                <w:sz w:val="20"/>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917" w:type="dxa"/>
            <w:gridSpan w:val="2"/>
            <w:vAlign w:val="center"/>
          </w:tcPr>
          <w:p>
            <w:pPr>
              <w:snapToGrid w:val="0"/>
              <w:spacing w:line="280" w:lineRule="exact"/>
              <w:jc w:val="center"/>
              <w:rPr>
                <w:b/>
                <w:sz w:val="22"/>
                <w:szCs w:val="22"/>
              </w:rPr>
            </w:pPr>
            <w:r>
              <w:rPr>
                <w:rFonts w:hint="eastAsia"/>
                <w:b/>
                <w:sz w:val="22"/>
                <w:szCs w:val="22"/>
              </w:rPr>
              <w:t>教师姓名</w:t>
            </w:r>
          </w:p>
        </w:tc>
        <w:tc>
          <w:tcPr>
            <w:tcW w:w="2862" w:type="dxa"/>
            <w:gridSpan w:val="2"/>
            <w:vAlign w:val="center"/>
          </w:tcPr>
          <w:p>
            <w:pPr>
              <w:snapToGrid w:val="0"/>
              <w:spacing w:line="280" w:lineRule="exact"/>
              <w:jc w:val="center"/>
              <w:rPr>
                <w:b/>
                <w:sz w:val="20"/>
              </w:rPr>
            </w:pPr>
            <w:r>
              <w:rPr>
                <w:rFonts w:hint="eastAsia"/>
                <w:sz w:val="18"/>
                <w:szCs w:val="18"/>
              </w:rPr>
              <w:t>散布拉</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2.2</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008" w:type="dxa"/>
            <w:vAlign w:val="center"/>
          </w:tcPr>
          <w:p>
            <w:pPr>
              <w:snapToGrid w:val="0"/>
              <w:jc w:val="center"/>
              <w:rPr>
                <w:b/>
                <w:sz w:val="20"/>
              </w:rPr>
            </w:pPr>
            <w:r>
              <w:rPr>
                <w:rFonts w:hint="eastAsia"/>
                <w:b/>
                <w:sz w:val="20"/>
              </w:rPr>
              <w:t>姓名</w:t>
            </w:r>
          </w:p>
        </w:tc>
        <w:tc>
          <w:tcPr>
            <w:tcW w:w="1357" w:type="dxa"/>
            <w:vAlign w:val="center"/>
          </w:tcPr>
          <w:p>
            <w:pPr>
              <w:snapToGrid w:val="0"/>
              <w:spacing w:line="360" w:lineRule="exact"/>
              <w:jc w:val="center"/>
              <w:rPr>
                <w:b/>
                <w:sz w:val="20"/>
              </w:rPr>
            </w:pPr>
            <w:r>
              <w:rPr>
                <w:rFonts w:hint="eastAsia"/>
                <w:sz w:val="18"/>
                <w:szCs w:val="18"/>
              </w:rPr>
              <w:t>李京田</w:t>
            </w:r>
          </w:p>
        </w:tc>
        <w:tc>
          <w:tcPr>
            <w:tcW w:w="1505" w:type="dxa"/>
            <w:vAlign w:val="center"/>
          </w:tcPr>
          <w:p>
            <w:pPr>
              <w:snapToGrid w:val="0"/>
              <w:spacing w:line="360" w:lineRule="exact"/>
              <w:jc w:val="center"/>
              <w:rPr>
                <w:b/>
                <w:sz w:val="20"/>
              </w:rPr>
            </w:pPr>
            <w:r>
              <w:rPr>
                <w:rFonts w:hint="eastAsia"/>
                <w:sz w:val="18"/>
                <w:szCs w:val="18"/>
              </w:rPr>
              <w:t>姜小清</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008" w:type="dxa"/>
            <w:vAlign w:val="center"/>
          </w:tcPr>
          <w:p>
            <w:pPr>
              <w:snapToGrid w:val="0"/>
              <w:spacing w:line="280" w:lineRule="exact"/>
              <w:jc w:val="center"/>
              <w:rPr>
                <w:b/>
                <w:sz w:val="20"/>
              </w:rPr>
            </w:pPr>
            <w:r>
              <w:rPr>
                <w:rFonts w:hint="eastAsia"/>
                <w:b/>
                <w:sz w:val="20"/>
              </w:rPr>
              <w:t>专业代码</w:t>
            </w:r>
          </w:p>
        </w:tc>
        <w:tc>
          <w:tcPr>
            <w:tcW w:w="1357" w:type="dxa"/>
            <w:vAlign w:val="center"/>
          </w:tcPr>
          <w:p>
            <w:pPr>
              <w:snapToGrid w:val="0"/>
              <w:spacing w:line="360" w:lineRule="exact"/>
              <w:jc w:val="center"/>
              <w:rPr>
                <w:b/>
                <w:sz w:val="20"/>
              </w:rPr>
            </w:pPr>
            <w:r>
              <w:rPr>
                <w:rFonts w:hint="eastAsia"/>
                <w:b/>
                <w:sz w:val="20"/>
                <w:lang w:val="en-US" w:eastAsia="zh-CN"/>
              </w:rPr>
              <w:t>/</w:t>
            </w:r>
          </w:p>
        </w:tc>
        <w:tc>
          <w:tcPr>
            <w:tcW w:w="1505" w:type="dxa"/>
            <w:vAlign w:val="center"/>
          </w:tcPr>
          <w:p>
            <w:pPr>
              <w:snapToGrid w:val="0"/>
              <w:spacing w:line="360" w:lineRule="exact"/>
              <w:jc w:val="center"/>
              <w:rPr>
                <w:b/>
                <w:sz w:val="20"/>
              </w:rPr>
            </w:pPr>
            <w:r>
              <w:rPr>
                <w:rFonts w:hint="eastAsia"/>
                <w:b/>
                <w:sz w:val="20"/>
                <w:lang w:val="en-US" w:eastAsia="zh-CN"/>
              </w:rPr>
              <w:t>/</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4" w:hRule="atLeast"/>
          <w:jc w:val="center"/>
        </w:trPr>
        <w:tc>
          <w:tcPr>
            <w:tcW w:w="1917"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756" w:type="dxa"/>
            <w:gridSpan w:val="6"/>
            <w:vAlign w:val="center"/>
          </w:tcPr>
          <w:p>
            <w:pPr>
              <w:pStyle w:val="2"/>
              <w:ind w:left="0" w:leftChars="0" w:firstLine="0" w:firstLineChars="0"/>
              <w:rPr>
                <w:b/>
                <w:sz w:val="20"/>
              </w:rPr>
            </w:pPr>
            <w:bookmarkStart w:id="3" w:name="_GoBack"/>
            <w:bookmarkEnd w:id="3"/>
          </w:p>
          <w:p>
            <w:pPr>
              <w:pStyle w:val="2"/>
              <w:rPr>
                <w:b/>
                <w:sz w:val="20"/>
              </w:rPr>
            </w:pPr>
            <w:r>
              <w:rPr>
                <w:rFonts w:hint="eastAsia" w:ascii="宋体" w:hAnsi="宋体" w:cs="宋体"/>
                <w:color w:val="auto"/>
                <w:sz w:val="24"/>
                <w:szCs w:val="24"/>
                <w:lang w:val="en-US" w:eastAsia="zh-CN"/>
              </w:rPr>
              <w:drawing>
                <wp:inline distT="0" distB="0" distL="114300" distR="114300">
                  <wp:extent cx="4380230" cy="1329055"/>
                  <wp:effectExtent l="0" t="0" r="1270" b="4445"/>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5"/>
                          <a:stretch>
                            <a:fillRect/>
                          </a:stretch>
                        </pic:blipFill>
                        <pic:spPr>
                          <a:xfrm>
                            <a:off x="0" y="0"/>
                            <a:ext cx="4380230" cy="1329055"/>
                          </a:xfrm>
                          <a:prstGeom prst="rect">
                            <a:avLst/>
                          </a:prstGeom>
                          <a:noFill/>
                          <a:ln>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917"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756" w:type="dxa"/>
            <w:gridSpan w:val="6"/>
            <w:vAlign w:val="center"/>
          </w:tcPr>
          <w:p>
            <w:pPr>
              <w:snapToGrid w:val="0"/>
              <w:spacing w:line="280" w:lineRule="exact"/>
              <w:jc w:val="left"/>
              <w:rPr>
                <w:rFonts w:hint="eastAsia"/>
                <w:b/>
                <w:sz w:val="20"/>
              </w:rPr>
            </w:pPr>
            <w:r>
              <w:rPr>
                <w:rFonts w:hint="eastAsia"/>
                <w:b/>
                <w:sz w:val="20"/>
              </w:rPr>
              <w:t>主要生产工艺</w:t>
            </w:r>
          </w:p>
          <w:p>
            <w:pPr>
              <w:snapToGrid w:val="0"/>
              <w:spacing w:line="280" w:lineRule="exact"/>
              <w:jc w:val="left"/>
              <w:rPr>
                <w:rFonts w:hint="eastAsia"/>
                <w:b/>
                <w:sz w:val="20"/>
              </w:rPr>
            </w:pPr>
            <w:r>
              <w:rPr>
                <w:rFonts w:hint="eastAsia"/>
                <w:b/>
                <w:sz w:val="20"/>
              </w:rPr>
              <w:t>1.生产工艺一</w:t>
            </w:r>
          </w:p>
          <w:p>
            <w:pPr>
              <w:snapToGrid w:val="0"/>
              <w:spacing w:line="280" w:lineRule="exact"/>
              <w:jc w:val="left"/>
              <w:rPr>
                <w:rFonts w:hint="eastAsia"/>
                <w:b/>
                <w:sz w:val="20"/>
              </w:rPr>
            </w:pPr>
            <w:r>
              <w:rPr>
                <w:rFonts w:hint="eastAsia"/>
                <w:b/>
                <w:sz w:val="20"/>
              </w:rPr>
              <w:t>工艺名称：稀土氧化物在稀土氟化物熔盐体系中电解生产稀土金属工艺</w:t>
            </w:r>
          </w:p>
          <w:p>
            <w:pPr>
              <w:snapToGrid w:val="0"/>
              <w:spacing w:line="280" w:lineRule="exact"/>
              <w:jc w:val="left"/>
              <w:rPr>
                <w:rFonts w:hint="eastAsia"/>
                <w:b/>
                <w:sz w:val="20"/>
              </w:rPr>
            </w:pPr>
            <w:r>
              <w:rPr>
                <w:rFonts w:hint="eastAsia"/>
                <w:b/>
                <w:sz w:val="20"/>
              </w:rPr>
              <w:t>工艺简介：将对应的稀土氟化物与氟化锂以一定的比例配制成电解质，作为电解反应的介质，以石墨片为阳极，金属钨棒为阴极，电解温度1000摄氏度左右，稀土氧化物根据电解速率定时加入，电解一定时间后，将钨或者钼坩埚中的稀土金属浇铸到铸铁模具中，冷却后，处理掉表面的电解质，即可得到成品。</w:t>
            </w:r>
          </w:p>
          <w:p>
            <w:pPr>
              <w:snapToGrid w:val="0"/>
              <w:spacing w:line="280" w:lineRule="exact"/>
              <w:jc w:val="left"/>
              <w:rPr>
                <w:rFonts w:hint="eastAsia"/>
                <w:b/>
                <w:sz w:val="20"/>
              </w:rPr>
            </w:pPr>
            <w:r>
              <w:rPr>
                <w:rFonts w:hint="eastAsia"/>
                <w:b/>
                <w:sz w:val="20"/>
              </w:rPr>
              <w:t>工艺特点：操作温度低，设备结构简单，可连续生产，相比其他工艺，产业化优势明显。</w:t>
            </w:r>
          </w:p>
          <w:p>
            <w:pPr>
              <w:snapToGrid w:val="0"/>
              <w:spacing w:line="280" w:lineRule="exact"/>
              <w:jc w:val="left"/>
              <w:rPr>
                <w:rFonts w:hint="eastAsia"/>
                <w:b/>
                <w:sz w:val="20"/>
              </w:rPr>
            </w:pPr>
            <w:r>
              <w:rPr>
                <w:rFonts w:hint="eastAsia"/>
                <w:b/>
                <w:sz w:val="20"/>
              </w:rPr>
              <w:t>2.生产工艺二</w:t>
            </w:r>
          </w:p>
          <w:p>
            <w:pPr>
              <w:snapToGrid w:val="0"/>
              <w:spacing w:line="280" w:lineRule="exact"/>
              <w:jc w:val="left"/>
              <w:rPr>
                <w:rFonts w:hint="eastAsia"/>
                <w:b/>
                <w:sz w:val="20"/>
              </w:rPr>
            </w:pPr>
            <w:r>
              <w:rPr>
                <w:rFonts w:hint="eastAsia"/>
                <w:b/>
                <w:sz w:val="20"/>
              </w:rPr>
              <w:t>工艺名称：氢破碎</w:t>
            </w:r>
          </w:p>
          <w:p>
            <w:pPr>
              <w:snapToGrid w:val="0"/>
              <w:spacing w:line="280" w:lineRule="exact"/>
              <w:jc w:val="left"/>
              <w:rPr>
                <w:rFonts w:hint="eastAsia"/>
                <w:b/>
                <w:sz w:val="20"/>
              </w:rPr>
            </w:pPr>
            <w:r>
              <w:rPr>
                <w:rFonts w:hint="eastAsia"/>
                <w:b/>
                <w:sz w:val="20"/>
              </w:rPr>
              <w:t>工艺简介：利用稀土永磁合金在吸氢和放氢过程中合金本省所产生的的晶界断裂和穿晶断裂的特性导致合金粉化从而得到一定粒度的合金粉末。</w:t>
            </w:r>
          </w:p>
          <w:p>
            <w:pPr>
              <w:snapToGrid w:val="0"/>
              <w:spacing w:line="280" w:lineRule="exact"/>
              <w:jc w:val="left"/>
              <w:rPr>
                <w:rFonts w:hint="eastAsia"/>
                <w:b/>
                <w:sz w:val="20"/>
              </w:rPr>
            </w:pPr>
            <w:r>
              <w:rPr>
                <w:rFonts w:hint="eastAsia"/>
                <w:b/>
                <w:sz w:val="20"/>
              </w:rPr>
              <w:t>工艺特点：钕铁硼锭材经过氢碎加工后直接进入下道工序——气流磨粉碎，减少材料氧化几率，减少工序，节省时间。</w:t>
            </w:r>
          </w:p>
          <w:p>
            <w:pPr>
              <w:snapToGrid w:val="0"/>
              <w:spacing w:line="280" w:lineRule="exact"/>
              <w:jc w:val="left"/>
              <w:rPr>
                <w:rFonts w:hint="eastAsia"/>
                <w:b/>
                <w:sz w:val="20"/>
              </w:rPr>
            </w:pPr>
            <w:r>
              <w:rPr>
                <w:rFonts w:hint="eastAsia"/>
                <w:b/>
                <w:sz w:val="20"/>
              </w:rPr>
              <w:t>3.生产工艺三</w:t>
            </w:r>
          </w:p>
          <w:p>
            <w:pPr>
              <w:snapToGrid w:val="0"/>
              <w:spacing w:line="280" w:lineRule="exact"/>
              <w:jc w:val="left"/>
              <w:rPr>
                <w:rFonts w:hint="eastAsia"/>
                <w:b/>
                <w:sz w:val="20"/>
              </w:rPr>
            </w:pPr>
            <w:r>
              <w:rPr>
                <w:rFonts w:hint="eastAsia"/>
                <w:b/>
                <w:sz w:val="20"/>
              </w:rPr>
              <w:t>工艺名称: 烧结钕铁硼</w:t>
            </w:r>
          </w:p>
          <w:p>
            <w:pPr>
              <w:snapToGrid w:val="0"/>
              <w:spacing w:line="280" w:lineRule="exact"/>
              <w:jc w:val="left"/>
              <w:rPr>
                <w:rFonts w:hint="eastAsia"/>
                <w:b/>
                <w:sz w:val="20"/>
              </w:rPr>
            </w:pPr>
            <w:r>
              <w:rPr>
                <w:rFonts w:hint="eastAsia"/>
                <w:b/>
                <w:sz w:val="20"/>
              </w:rPr>
              <w:t>技术来源：宁波稀土材料所，北京工业大学</w:t>
            </w:r>
          </w:p>
          <w:p>
            <w:pPr>
              <w:snapToGrid w:val="0"/>
              <w:spacing w:line="280" w:lineRule="exact"/>
              <w:jc w:val="left"/>
              <w:rPr>
                <w:b/>
                <w:sz w:val="20"/>
              </w:rPr>
            </w:pPr>
            <w:r>
              <w:rPr>
                <w:rFonts w:hint="eastAsia"/>
                <w:b/>
                <w:sz w:val="20"/>
              </w:rPr>
              <w:t>工艺简介：烧结钕铁硼永磁材料是金属钕、铁、硼和其他微量元素（Dy、Al、Nb、Ga、Mo、Co等）构成的合金磁体。其制造通过粉末冶金工艺将熔炼后的合金锭制成粉末在磁场中取向并成型，成型后胚体在惰性气体或真空中烧结使其致密化，所以烧结钕铁硼具有极高的磁能积和矫顽力，而且性价比高，并具有良好的机械特性拥有当代磁王之称工艺特点：在真空等保护气体下，把稀土金属等元素真空熔炼，粉碎，取向成型，真空烧结，然后加工成客户需要的磁铁，从而获得高性能磁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17"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756"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917"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756"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917"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756" w:type="dxa"/>
            <w:gridSpan w:val="6"/>
            <w:vAlign w:val="center"/>
          </w:tcPr>
          <w:p>
            <w:pPr>
              <w:tabs>
                <w:tab w:val="left" w:pos="332"/>
              </w:tabs>
              <w:snapToGrid w:val="0"/>
              <w:spacing w:line="280" w:lineRule="exact"/>
              <w:jc w:val="left"/>
              <w:rPr>
                <w:b/>
                <w:sz w:val="20"/>
              </w:rPr>
            </w:pPr>
            <w:r>
              <w:rPr>
                <w:rFonts w:hint="eastAsia"/>
                <w:b/>
                <w:sz w:val="20"/>
                <w:lang w:eastAsia="zh-CN"/>
              </w:rPr>
              <w:tab/>
            </w:r>
            <w:r>
              <w:rPr>
                <w:rFonts w:hint="eastAsia"/>
                <w:b/>
                <w:sz w:val="20"/>
                <w:lang w:eastAsia="zh-CN"/>
              </w:rPr>
              <w:t>金属铈</w:t>
            </w:r>
            <w:r>
              <w:rPr>
                <w:rFonts w:hint="eastAsia"/>
                <w:b/>
                <w:sz w:val="20"/>
                <w:lang w:val="en-US" w:eastAsia="zh-CN"/>
              </w:rPr>
              <w:t>GB/T31978-2015、镨钕氧化物GB/T31965-2015、氧化铈GB/T4155-2012、镨钕金属GB/T20892-2020、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1917"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756" w:type="dxa"/>
            <w:gridSpan w:val="6"/>
            <w:vAlign w:val="center"/>
          </w:tcPr>
          <w:p>
            <w:pPr>
              <w:snapToGrid w:val="0"/>
              <w:spacing w:line="280" w:lineRule="exact"/>
              <w:jc w:val="center"/>
              <w:rPr>
                <w:b/>
                <w:sz w:val="20"/>
              </w:rPr>
            </w:pPr>
            <w:r>
              <w:rPr>
                <w:rFonts w:hint="eastAsia"/>
                <w:b/>
                <w:sz w:val="20"/>
                <w:lang w:eastAsia="zh-CN"/>
              </w:rPr>
              <w:t>根据用户要求及相关国标进行进场原辅材料检验、生产产品检验。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1917"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756"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sz w:val="18"/>
          <w:szCs w:val="18"/>
        </w:rPr>
        <w:t>散布拉</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2021.7.28</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2021.7.28</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1B1E01"/>
    <w:rsid w:val="5B3E5051"/>
    <w:rsid w:val="636F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2021-07-30T08:58:56Z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79251D06DCCE45A6AD2E81FB93B4C7CD</vt:lpwstr>
  </property>
</Properties>
</file>