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ascii="楷体" w:hAnsi="楷体" w:eastAsia="楷体"/>
          <w:b/>
          <w:color w:val="000000" w:themeColor="text1"/>
          <w:sz w:val="84"/>
          <w:szCs w:val="84"/>
        </w:rPr>
      </w:pPr>
      <w:r>
        <w:rPr>
          <w:rFonts w:hint="eastAsia" w:ascii="宋体" w:hAnsi="宋体"/>
          <w:sz w:val="18"/>
        </w:rPr>
        <w:t>编  号：</w:t>
      </w:r>
      <w:bookmarkStart w:id="0" w:name="合同编号"/>
      <w:r>
        <w:rPr>
          <w:szCs w:val="44"/>
        </w:rPr>
        <w:t>0737-2021-QEO</w:t>
      </w:r>
      <w:bookmarkEnd w:id="0"/>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黑龙江佳和市政工程有限公司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10"/>
          <w:rFonts w:hint="eastAsia"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Style w:val="10"/>
          <w:rFonts w:hint="eastAsia" w:ascii="楷体" w:hAnsi="楷体" w:eastAsia="楷体"/>
          <w:b/>
          <w:sz w:val="36"/>
          <w:szCs w:val="36"/>
        </w:rPr>
      </w:pPr>
    </w:p>
    <w:p>
      <w:pPr>
        <w:widowControl/>
        <w:ind w:firstLine="2172" w:firstLineChars="601"/>
        <w:jc w:val="left"/>
        <w:rPr>
          <w:rStyle w:val="10"/>
          <w:rFonts w:hint="eastAsia" w:ascii="楷体" w:hAnsi="楷体" w:eastAsia="楷体"/>
          <w:b/>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Q:35.17.00</w:t>
            </w:r>
          </w:p>
          <w:p>
            <w:pPr>
              <w:spacing w:line="240" w:lineRule="exact"/>
              <w:jc w:val="center"/>
              <w:rPr>
                <w:b/>
                <w:color w:val="000000" w:themeColor="text1"/>
                <w:sz w:val="20"/>
                <w:szCs w:val="20"/>
              </w:rPr>
            </w:pPr>
            <w:r>
              <w:rPr>
                <w:b/>
                <w:color w:val="000000" w:themeColor="text1"/>
                <w:sz w:val="20"/>
                <w:szCs w:val="20"/>
              </w:rPr>
              <w:t>E:35.17.00</w:t>
            </w:r>
          </w:p>
          <w:p>
            <w:pPr>
              <w:spacing w:line="240" w:lineRule="exact"/>
              <w:jc w:val="center"/>
              <w:rPr>
                <w:b/>
                <w:color w:val="000000" w:themeColor="text1"/>
                <w:sz w:val="20"/>
                <w:szCs w:val="20"/>
              </w:rPr>
            </w:pPr>
            <w:r>
              <w:rPr>
                <w:b/>
                <w:color w:val="000000" w:themeColor="text1"/>
                <w:sz w:val="20"/>
                <w:szCs w:val="20"/>
              </w:rP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18"/>
                <w:szCs w:val="18"/>
              </w:rPr>
            </w:pPr>
            <w:r>
              <w:rPr>
                <w:rFonts w:hint="eastAsia" w:ascii="楷体" w:hAnsi="楷体" w:eastAsia="楷体"/>
                <w:b/>
                <w:color w:val="000000" w:themeColor="text1"/>
                <w:sz w:val="18"/>
                <w:szCs w:val="18"/>
              </w:rPr>
              <w:t>■</w:t>
            </w:r>
            <w:r>
              <w:rPr>
                <w:rFonts w:ascii="宋体" w:cs="宋体" w:hAnsiTheme="minorHAnsi"/>
                <w:color w:val="000000" w:themeColor="text1"/>
                <w:kern w:val="0"/>
                <w:sz w:val="18"/>
                <w:szCs w:val="18"/>
              </w:rPr>
              <w:t>QMS/</w:t>
            </w:r>
            <w:r>
              <w:rPr>
                <w:rFonts w:hint="eastAsia" w:ascii="楷体" w:hAnsi="楷体" w:eastAsia="楷体"/>
                <w:b/>
                <w:color w:val="000000" w:themeColor="text1"/>
                <w:sz w:val="18"/>
                <w:szCs w:val="18"/>
              </w:rPr>
              <w:t>■</w:t>
            </w:r>
            <w:r>
              <w:rPr>
                <w:rFonts w:ascii="宋体" w:cs="宋体" w:hAnsiTheme="minorHAnsi"/>
                <w:color w:val="000000" w:themeColor="text1"/>
                <w:kern w:val="0"/>
                <w:sz w:val="18"/>
                <w:szCs w:val="18"/>
              </w:rPr>
              <w:t>EMS/</w:t>
            </w:r>
            <w:r>
              <w:rPr>
                <w:rFonts w:hint="eastAsia" w:ascii="楷体" w:hAnsi="楷体" w:eastAsia="楷体"/>
                <w:b/>
                <w:color w:val="000000" w:themeColor="text1"/>
                <w:sz w:val="18"/>
                <w:szCs w:val="18"/>
              </w:rPr>
              <w:t>■</w:t>
            </w:r>
            <w:r>
              <w:rPr>
                <w:rFonts w:ascii="宋体" w:cs="宋体" w:hAnsiTheme="minorHAnsi"/>
                <w:color w:val="000000" w:themeColor="text1"/>
                <w:kern w:val="0"/>
                <w:sz w:val="18"/>
                <w:szCs w:val="18"/>
              </w:rPr>
              <w:t>OHSMS</w:t>
            </w:r>
          </w:p>
          <w:p>
            <w:pPr>
              <w:rPr>
                <w:rFonts w:ascii="宋体" w:hAnsi="宋体"/>
                <w:b/>
                <w:color w:val="000000" w:themeColor="text1"/>
                <w:sz w:val="18"/>
                <w:szCs w:val="18"/>
              </w:rPr>
            </w:pPr>
            <w:r>
              <w:rPr>
                <w:rFonts w:hint="eastAsia" w:ascii="宋体" w:cs="宋体" w:hAnsiTheme="minorHAnsi"/>
                <w:color w:val="000000" w:themeColor="text1"/>
                <w:kern w:val="0"/>
                <w:sz w:val="18"/>
                <w:szCs w:val="18"/>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黑龙江佳和市政工程有限公司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哈尔滨市松北区祥安北大街1377号欧美亚阳光家园BH28号楼03号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150000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哈尔滨市道外区南直路345号C3栋5单元1层2号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150000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裴丽丽</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13115603853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高香国</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pacing w:val="-20"/>
                <w:sz w:val="20"/>
                <w:szCs w:val="20"/>
              </w:rPr>
              <w:t>耿明臣</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裴丽丽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Q：园林绿化景观工程</w:t>
            </w:r>
          </w:p>
          <w:p>
            <w:pPr>
              <w:spacing w:line="320" w:lineRule="exact"/>
              <w:rPr>
                <w:rFonts w:ascii="宋体" w:hAnsi="宋体"/>
                <w:b/>
                <w:color w:val="000000" w:themeColor="text1"/>
                <w:sz w:val="20"/>
                <w:szCs w:val="20"/>
              </w:rPr>
            </w:pPr>
            <w:r>
              <w:rPr>
                <w:rFonts w:ascii="宋体" w:hAnsi="宋体"/>
                <w:b/>
                <w:color w:val="000000" w:themeColor="text1"/>
                <w:sz w:val="20"/>
                <w:szCs w:val="20"/>
              </w:rPr>
              <w:t>E：园林绿化景观工程所涉及场所的相关环境管理活动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O：园林绿化景观工程所涉及场所的相关职业健康安全管理活动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Q：35.17.00</w:t>
            </w:r>
          </w:p>
          <w:p>
            <w:pPr>
              <w:spacing w:line="320" w:lineRule="exact"/>
              <w:rPr>
                <w:rFonts w:ascii="宋体" w:hAnsi="宋体"/>
                <w:b/>
                <w:color w:val="000000" w:themeColor="text1"/>
                <w:sz w:val="20"/>
                <w:szCs w:val="20"/>
              </w:rPr>
            </w:pPr>
            <w:r>
              <w:rPr>
                <w:rFonts w:ascii="宋体" w:hAnsi="宋体"/>
                <w:b/>
                <w:color w:val="000000" w:themeColor="text1"/>
                <w:sz w:val="20"/>
                <w:szCs w:val="20"/>
              </w:rPr>
              <w:t>E：35.17.00</w:t>
            </w:r>
          </w:p>
          <w:p>
            <w:pPr>
              <w:spacing w:line="320" w:lineRule="exact"/>
              <w:rPr>
                <w:rFonts w:ascii="宋体" w:hAnsi="宋体"/>
                <w:b/>
                <w:color w:val="000000" w:themeColor="text1"/>
                <w:sz w:val="20"/>
                <w:szCs w:val="20"/>
              </w:rPr>
            </w:pPr>
            <w:r>
              <w:rPr>
                <w:rFonts w:ascii="宋体" w:hAnsi="宋体"/>
                <w:b/>
                <w:color w:val="000000" w:themeColor="text1"/>
                <w:sz w:val="20"/>
                <w:szCs w:val="20"/>
              </w:rPr>
              <w:t>O：35.17.00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楷体" w:hAnsi="楷体" w:eastAsia="楷体"/>
                <w:b/>
                <w:color w:val="000000" w:themeColor="text1"/>
                <w:sz w:val="18"/>
                <w:szCs w:val="18"/>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2020-08-10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1个，</w:t>
            </w:r>
            <w:r>
              <w:rPr>
                <w:rFonts w:hint="eastAsia" w:asciiTheme="minorEastAsia" w:hAnsiTheme="minorEastAsia" w:eastAsiaTheme="minorEastAsia" w:cstheme="minorEastAsia"/>
                <w:szCs w:val="21"/>
                <w:lang w:val="zh-CN"/>
              </w:rPr>
              <w:t>哈尔滨市文化中心基础设施及景观绿化工程附属工程老堤防外围区城绿化工程</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人事部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不合格品控制；纠正和预防措施控制；策划管理；过程监控管理；设计管理、安装控制、产品验收管理；监视和测量设备管理；服务过程管理；设备设施管理；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销售过程管理；合同管理；采购管理；外部供方管理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资源提供；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114"/>
        <w:gridCol w:w="883"/>
        <w:gridCol w:w="5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1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83" w:type="dxa"/>
          </w:tcPr>
          <w:p>
            <w:pPr>
              <w:rPr>
                <w:b/>
                <w:color w:val="000000" w:themeColor="text1"/>
                <w:sz w:val="20"/>
                <w:szCs w:val="20"/>
              </w:rPr>
            </w:pPr>
            <w:r>
              <w:rPr>
                <w:rFonts w:hint="eastAsia"/>
                <w:b/>
                <w:color w:val="000000" w:themeColor="text1"/>
                <w:sz w:val="20"/>
                <w:szCs w:val="20"/>
              </w:rPr>
              <w:t>规格</w:t>
            </w:r>
          </w:p>
        </w:tc>
        <w:tc>
          <w:tcPr>
            <w:tcW w:w="589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r>
              <w:rPr>
                <w:rFonts w:hint="eastAsia" w:ascii="宋体" w:hAnsi="宋体"/>
                <w:bCs/>
                <w:szCs w:val="21"/>
              </w:rPr>
              <w:t>园林绿化景观工程</w:t>
            </w:r>
          </w:p>
        </w:tc>
        <w:tc>
          <w:tcPr>
            <w:tcW w:w="1114" w:type="dxa"/>
          </w:tcPr>
          <w:p>
            <w:pPr>
              <w:rPr>
                <w:b/>
                <w:color w:val="000000" w:themeColor="text1"/>
                <w:sz w:val="20"/>
                <w:szCs w:val="20"/>
              </w:rPr>
            </w:pPr>
            <w:r>
              <w:rPr>
                <w:rFonts w:hint="eastAsia"/>
                <w:b/>
                <w:color w:val="000000" w:themeColor="text1"/>
                <w:sz w:val="20"/>
                <w:szCs w:val="20"/>
              </w:rPr>
              <w:t>服务</w:t>
            </w:r>
          </w:p>
        </w:tc>
        <w:tc>
          <w:tcPr>
            <w:tcW w:w="883" w:type="dxa"/>
          </w:tcPr>
          <w:p>
            <w:pPr>
              <w:rPr>
                <w:b/>
                <w:color w:val="000000" w:themeColor="text1"/>
                <w:sz w:val="20"/>
                <w:szCs w:val="20"/>
              </w:rPr>
            </w:pPr>
          </w:p>
        </w:tc>
        <w:tc>
          <w:tcPr>
            <w:tcW w:w="5893" w:type="dxa"/>
          </w:tcPr>
          <w:p>
            <w:pPr>
              <w:spacing w:line="400" w:lineRule="exact"/>
              <w:rPr>
                <w:b/>
                <w:color w:val="000000" w:themeColor="text1"/>
                <w:sz w:val="20"/>
                <w:szCs w:val="20"/>
              </w:rPr>
            </w:pPr>
            <w:r>
              <w:rPr>
                <w:rFonts w:hint="eastAsia"/>
              </w:rPr>
              <w:t>《合同法》、《建筑法》、</w:t>
            </w:r>
            <w:r>
              <w:rPr>
                <w:rFonts w:hint="eastAsia"/>
                <w:lang w:val="en-US" w:eastAsia="zh-CN"/>
              </w:rPr>
              <w:t>CJJ83-2016《城乡建设用地竖向规划规范》、CJJ82-2012《城市园林绿化工程施工及验收规范》、CJJ75-97《城市道路绿化规划及设计规范》、GB50420-2007《城市绿地设计规范》委托方工程勘察报告、现状地形图、绿化工程施工方案</w:t>
            </w:r>
            <w:r>
              <w:rPr>
                <w:rFonts w:hint="eastAsia"/>
                <w:lang w:eastAsia="zh-CN"/>
              </w:rPr>
              <w:t>、</w:t>
            </w:r>
            <w:r>
              <w:rPr>
                <w:rFonts w:hint="eastAsia"/>
              </w:rPr>
              <w:t>施工图、合同协议等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p>
        </w:tc>
        <w:tc>
          <w:tcPr>
            <w:tcW w:w="1114" w:type="dxa"/>
          </w:tcPr>
          <w:p>
            <w:pPr>
              <w:rPr>
                <w:b/>
                <w:color w:val="000000" w:themeColor="text1"/>
                <w:sz w:val="20"/>
                <w:szCs w:val="20"/>
              </w:rPr>
            </w:pPr>
          </w:p>
        </w:tc>
        <w:tc>
          <w:tcPr>
            <w:tcW w:w="883" w:type="dxa"/>
          </w:tcPr>
          <w:p>
            <w:pPr>
              <w:rPr>
                <w:b/>
                <w:color w:val="000000" w:themeColor="text1"/>
                <w:sz w:val="20"/>
                <w:szCs w:val="20"/>
              </w:rPr>
            </w:pPr>
          </w:p>
        </w:tc>
        <w:tc>
          <w:tcPr>
            <w:tcW w:w="589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5" w:type="dxa"/>
          </w:tcPr>
          <w:p>
            <w:pPr>
              <w:rPr>
                <w:b/>
                <w:color w:val="000000" w:themeColor="text1"/>
                <w:sz w:val="20"/>
                <w:szCs w:val="20"/>
              </w:rPr>
            </w:pPr>
          </w:p>
        </w:tc>
        <w:tc>
          <w:tcPr>
            <w:tcW w:w="1114" w:type="dxa"/>
          </w:tcPr>
          <w:p>
            <w:pPr>
              <w:rPr>
                <w:b/>
                <w:color w:val="000000" w:themeColor="text1"/>
                <w:sz w:val="20"/>
                <w:szCs w:val="20"/>
              </w:rPr>
            </w:pPr>
          </w:p>
        </w:tc>
        <w:tc>
          <w:tcPr>
            <w:tcW w:w="883" w:type="dxa"/>
          </w:tcPr>
          <w:p>
            <w:pPr>
              <w:rPr>
                <w:b/>
                <w:color w:val="000000" w:themeColor="text1"/>
                <w:sz w:val="20"/>
                <w:szCs w:val="20"/>
              </w:rPr>
            </w:pPr>
          </w:p>
        </w:tc>
        <w:tc>
          <w:tcPr>
            <w:tcW w:w="589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p>
        </w:tc>
        <w:tc>
          <w:tcPr>
            <w:tcW w:w="1114" w:type="dxa"/>
          </w:tcPr>
          <w:p>
            <w:pPr>
              <w:rPr>
                <w:b/>
                <w:color w:val="000000" w:themeColor="text1"/>
                <w:sz w:val="20"/>
                <w:szCs w:val="20"/>
              </w:rPr>
            </w:pPr>
          </w:p>
        </w:tc>
        <w:tc>
          <w:tcPr>
            <w:tcW w:w="883" w:type="dxa"/>
          </w:tcPr>
          <w:p>
            <w:pPr>
              <w:rPr>
                <w:b/>
                <w:color w:val="000000" w:themeColor="text1"/>
                <w:sz w:val="20"/>
                <w:szCs w:val="20"/>
              </w:rPr>
            </w:pPr>
          </w:p>
        </w:tc>
        <w:tc>
          <w:tcPr>
            <w:tcW w:w="589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■体系运行开始的2020年8月10日至2021年7月19日。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0" w:lineRule="atLeast"/>
              <w:ind w:firstLine="420" w:firstLineChars="200"/>
              <w:jc w:val="left"/>
              <w:rPr>
                <w:rFonts w:ascii="宋体" w:hAnsi="宋体"/>
                <w:szCs w:val="21"/>
              </w:rPr>
            </w:pPr>
            <w:r>
              <w:rPr>
                <w:rFonts w:hint="eastAsia" w:asciiTheme="minorEastAsia" w:hAnsiTheme="minorEastAsia" w:eastAsiaTheme="minorEastAsia" w:cstheme="minorEastAsia"/>
                <w:szCs w:val="21"/>
                <w:lang w:val="zh-CN"/>
              </w:rPr>
              <w:t>黑龙江佳和市政工程有限公司，成立于20</w:t>
            </w: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4月</w:t>
            </w:r>
            <w:r>
              <w:rPr>
                <w:rFonts w:hint="eastAsia" w:asciiTheme="minorEastAsia" w:hAnsiTheme="minorEastAsia" w:eastAsiaTheme="minorEastAsia" w:cstheme="minorEastAsia"/>
                <w:szCs w:val="21"/>
                <w:lang w:val="zh-CN"/>
              </w:rPr>
              <w:t>；是一家专业从事园林绿化景观工程的公司。现有员工</w:t>
            </w:r>
            <w:r>
              <w:rPr>
                <w:rFonts w:hint="eastAsia" w:asciiTheme="minorEastAsia" w:hAnsiTheme="minorEastAsia" w:eastAsiaTheme="minorEastAsia" w:cstheme="minorEastAsia"/>
                <w:szCs w:val="21"/>
              </w:rPr>
              <w:t>13</w:t>
            </w:r>
            <w:r>
              <w:rPr>
                <w:rFonts w:hint="eastAsia" w:asciiTheme="minorEastAsia" w:hAnsiTheme="minorEastAsia" w:eastAsiaTheme="minorEastAsia" w:cstheme="minorEastAsia"/>
                <w:szCs w:val="21"/>
                <w:lang w:val="zh-CN"/>
              </w:rPr>
              <w:t>人，目前经营情况良好</w:t>
            </w:r>
            <w:r>
              <w:rPr>
                <w:rFonts w:hint="eastAsia" w:ascii="宋体" w:hAnsi="宋体"/>
                <w:szCs w:val="21"/>
              </w:rPr>
              <w:t>。</w:t>
            </w:r>
          </w:p>
          <w:p>
            <w:pPr>
              <w:spacing w:line="0" w:lineRule="atLeast"/>
              <w:ind w:firstLine="420" w:firstLineChars="200"/>
              <w:jc w:val="left"/>
              <w:rPr>
                <w:b/>
                <w:color w:val="000000" w:themeColor="text1"/>
                <w:sz w:val="20"/>
                <w:szCs w:val="20"/>
              </w:rPr>
            </w:pPr>
            <w:r>
              <w:rPr>
                <w:rFonts w:hint="eastAsia" w:ascii="宋体" w:hAnsi="宋体"/>
                <w:szCs w:val="21"/>
              </w:rPr>
              <w:t>组织对内外部因素、相关方需求和期望进行了充分的识别，策划和实施有效。确定了体系的边界，基本适用。管理体系8.3不适用，理由：</w:t>
            </w:r>
            <w:r>
              <w:rPr>
                <w:rFonts w:hint="eastAsia" w:ascii="宋体" w:hAnsi="宋体" w:cs="宋体"/>
                <w:szCs w:val="21"/>
              </w:rPr>
              <w:t>公司依据国家及行业标准进行服务，服务模式固定，不涉及新服务的开发，故GB/T19001-2016标准第8.3条款不适用；不影响为顾客提供满足法律、法规和顾客要求的服务</w:t>
            </w:r>
            <w:r>
              <w:rPr>
                <w:rFonts w:hint="eastAsia" w:ascii="宋体" w:hAnsi="宋体"/>
                <w:szCs w:val="21"/>
              </w:rPr>
              <w:t>。理由合理。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jc w:val="lef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jc w:val="left"/>
              <w:rPr>
                <w:rFonts w:ascii="宋体" w:hAnsi="宋体"/>
                <w:bCs/>
                <w:color w:val="000000" w:themeColor="text1"/>
                <w:szCs w:val="21"/>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bCs/>
                <w:color w:val="000000" w:themeColor="text1"/>
                <w:szCs w:val="21"/>
              </w:rPr>
              <w:t>诚信为本、质量第一、信誉至上、争创一流、珍惜环境、和谐发展</w:t>
            </w:r>
          </w:p>
          <w:p>
            <w:pPr>
              <w:spacing w:line="360" w:lineRule="auto"/>
              <w:jc w:val="left"/>
              <w:rPr>
                <w:b/>
                <w:color w:val="000000" w:themeColor="text1"/>
              </w:rPr>
            </w:pPr>
            <w:r>
              <w:rPr>
                <w:rFonts w:hint="eastAsia" w:ascii="宋体" w:hAnsi="宋体"/>
                <w:bCs/>
                <w:color w:val="000000" w:themeColor="text1"/>
                <w:szCs w:val="21"/>
              </w:rPr>
              <w:t>节能降耗、安全第一</w:t>
            </w:r>
            <w:r>
              <w:rPr>
                <w:rFonts w:hint="eastAsia" w:ascii="宋体" w:hAnsi="宋体" w:cs="宋体"/>
                <w:color w:val="000000"/>
                <w:szCs w:val="21"/>
              </w:rPr>
              <w:t>；”坚持走可持续发展之路，倡导绿色环保思想，遵守法律法规，从产品安装到服务的全过程中，实行污染预防和持续改进；</w:t>
            </w:r>
            <w:r>
              <w:rPr>
                <w:rFonts w:hint="eastAsia" w:ascii="宋体" w:hAnsi="宋体"/>
                <w:color w:val="000000"/>
                <w:szCs w:val="21"/>
              </w:rPr>
              <w:t xml:space="preserve"> 保障健康、安全安装、以人为本、永续发展、遵守法规、持续改进。</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cs="Times New Roman"/>
                <w:color w:val="000000"/>
                <w:szCs w:val="21"/>
              </w:rPr>
            </w:pPr>
            <w:r>
              <w:rPr>
                <w:rFonts w:hint="eastAsia" w:ascii="宋体" w:hAnsi="宋体"/>
                <w:b/>
                <w:color w:val="000000" w:themeColor="text1"/>
                <w:sz w:val="20"/>
                <w:szCs w:val="20"/>
              </w:rPr>
              <w:t>质量管理体系过程有：</w:t>
            </w:r>
            <w:r>
              <w:rPr>
                <w:rFonts w:hint="eastAsia" w:ascii="宋体" w:hAnsi="宋体" w:eastAsia="宋体" w:cs="Times New Roman"/>
                <w:color w:val="000000"/>
                <w:szCs w:val="21"/>
              </w:rPr>
              <w:t>合同评审、供方评审、方案策划过程、服务过程等</w:t>
            </w:r>
          </w:p>
          <w:p>
            <w:pPr>
              <w:tabs>
                <w:tab w:val="left" w:pos="540"/>
              </w:tabs>
              <w:spacing w:line="300" w:lineRule="exact"/>
              <w:ind w:left="201" w:hanging="201" w:hangingChars="100"/>
              <w:rPr>
                <w:rFonts w:ascii="宋体" w:hAnsi="宋体"/>
                <w:color w:val="000000"/>
                <w:szCs w:val="21"/>
              </w:rPr>
            </w:pPr>
            <w:r>
              <w:rPr>
                <w:rFonts w:hint="eastAsia" w:ascii="宋体" w:hAnsi="宋体"/>
                <w:b/>
                <w:color w:val="000000" w:themeColor="text1"/>
                <w:sz w:val="20"/>
                <w:szCs w:val="20"/>
              </w:rPr>
              <w:t>其中关键过程有：</w:t>
            </w:r>
            <w:r>
              <w:rPr>
                <w:rFonts w:hint="eastAsia" w:ascii="宋体" w:hAnsi="宋体"/>
                <w:color w:val="000000"/>
                <w:szCs w:val="21"/>
              </w:rPr>
              <w:t>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需要确认过程:服务过程</w:t>
            </w:r>
          </w:p>
          <w:p>
            <w:pPr>
              <w:jc w:val="left"/>
              <w:rPr>
                <w:rFonts w:ascii="宋体" w:hAnsi="宋体" w:cs="宋体"/>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 xml:space="preserve">8.3   </w:t>
            </w:r>
            <w:r>
              <w:rPr>
                <w:rFonts w:hint="eastAsia" w:ascii="宋体" w:hAnsi="宋体"/>
                <w:b/>
                <w:color w:val="000000" w:themeColor="text1"/>
                <w:sz w:val="20"/>
                <w:szCs w:val="20"/>
              </w:rPr>
              <w:t>，不适用理由：</w:t>
            </w:r>
            <w:r>
              <w:rPr>
                <w:rFonts w:hint="eastAsia" w:ascii="宋体" w:hAnsi="宋体" w:cs="Lucida Sans"/>
                <w:szCs w:val="21"/>
              </w:rPr>
              <w:t>公司所承接的园林绿化景观工程均按业主提供的设计及国家行业相关标准进行实施，并按照行业标准及顾客要求进行服务，服务流程及模式固定成熟，不需要承担设计和开发责任，因此标准8.3条款不适用，该条款不适用不影响组织提供满足客户要求及法律法规要求的服务及责任</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w:t>
            </w:r>
            <w:r>
              <w:rPr>
                <w:rFonts w:hint="eastAsia" w:ascii="宋体" w:hAnsi="宋体" w:eastAsia="宋体" w:cs="宋体"/>
                <w:color w:val="000000"/>
                <w:kern w:val="0"/>
                <w:szCs w:val="21"/>
              </w:rPr>
              <w:t>，目标得到沟通和监视评价，通过数据的汇总统计、描述性统计等方法对目标进行了测量，总体已达到或超过了规定的目标值</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质量、环境、职业健康安全管理目标：</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1) 客户满意度≥90分； </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2) 死亡事故发生率为0； </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3）对固体废弃物合规处置率100%；</w:t>
            </w:r>
          </w:p>
          <w:p>
            <w:pPr>
              <w:spacing w:line="300" w:lineRule="exact"/>
              <w:ind w:firstLine="420" w:firstLineChars="200"/>
              <w:rPr>
                <w:rFonts w:ascii="宋体" w:hAnsi="宋体"/>
                <w:b/>
                <w:color w:val="000000" w:themeColor="text1"/>
              </w:rPr>
            </w:pPr>
            <w:r>
              <w:rPr>
                <w:rFonts w:hint="eastAsia" w:ascii="宋体" w:hAnsi="宋体" w:eastAsia="宋体" w:cs="宋体"/>
                <w:color w:val="000000"/>
                <w:kern w:val="0"/>
                <w:szCs w:val="21"/>
              </w:rPr>
              <w:t>4) 火灾事故发生率为0；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8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织按管理体系需求配置了充足的人员、设施、设备等资源，并建立维持了</w:t>
            </w:r>
            <w:r>
              <w:rPr>
                <w:rFonts w:hint="eastAsia" w:ascii="宋体" w:hAnsi="宋体"/>
                <w:szCs w:val="21"/>
              </w:rPr>
              <w:t>系统集成</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sz w:val="20"/>
                <w:szCs w:val="20"/>
              </w:rPr>
            </w:pPr>
            <w:r>
              <w:rPr>
                <w:rFonts w:hint="eastAsia" w:ascii="宋体" w:hAnsi="宋体"/>
                <w:b/>
                <w:color w:val="000000" w:themeColor="text1"/>
                <w:sz w:val="20"/>
                <w:szCs w:val="20"/>
              </w:rPr>
              <w:t>设备设施（包括信息系统）、</w:t>
            </w:r>
            <w:r>
              <w:rPr>
                <w:rFonts w:hint="eastAsia" w:ascii="宋体" w:hAnsi="宋体"/>
                <w:szCs w:val="21"/>
              </w:rPr>
              <w:t>办公场所面积110平方左右。</w:t>
            </w:r>
            <w:r>
              <w:rPr>
                <w:rFonts w:hint="eastAsia" w:ascii="宋体" w:hAnsi="宋体" w:cs="宋体"/>
                <w:szCs w:val="21"/>
              </w:rPr>
              <w:t>主要设备包括</w:t>
            </w:r>
            <w:r>
              <w:rPr>
                <w:rFonts w:hint="eastAsia" w:asciiTheme="minorEastAsia" w:hAnsiTheme="minorEastAsia" w:eastAsiaTheme="minorEastAsia" w:cstheme="minorEastAsia"/>
                <w:szCs w:val="21"/>
                <w:lang w:val="zh-CN"/>
              </w:rPr>
              <w:t>电脑、打印机、修剪机、高枝剪、尖镐、喷雾器、灌水设备、手推车</w:t>
            </w:r>
            <w:r>
              <w:rPr>
                <w:rFonts w:hint="eastAsia" w:ascii="宋体" w:hAnsi="宋体" w:cs="宋体"/>
                <w:szCs w:val="21"/>
              </w:rPr>
              <w:t>等</w:t>
            </w:r>
            <w:r>
              <w:rPr>
                <w:rFonts w:hint="eastAsia" w:ascii="宋体" w:hAnsi="宋体"/>
                <w:szCs w:val="21"/>
              </w:rPr>
              <w:t>，可以满足园林绿化工程的需要</w:t>
            </w:r>
            <w:r>
              <w:rPr>
                <w:rFonts w:hint="eastAsia" w:ascii="宋体" w:hAnsi="宋体" w:cs="宋体"/>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spacing w:line="360" w:lineRule="auto"/>
            </w:pPr>
            <w:r>
              <w:rPr>
                <w:rFonts w:hint="eastAsia" w:ascii="宋体" w:hAnsi="宋体"/>
                <w:color w:val="000000"/>
                <w:szCs w:val="21"/>
              </w:rPr>
              <w:t>水准仪、经纬仪</w:t>
            </w:r>
            <w:r>
              <w:rPr>
                <w:rFonts w:hint="eastAsia" w:ascii="宋体" w:hAnsi="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w:t>
            </w:r>
            <w:r>
              <w:rPr>
                <w:rFonts w:hint="eastAsia" w:ascii="宋体" w:hAnsi="宋体" w:cs="宋体"/>
                <w:color w:val="000000"/>
                <w:szCs w:val="21"/>
                <w:lang w:val="en-US" w:eastAsia="zh-CN"/>
              </w:rPr>
              <w:t>/</w:t>
            </w:r>
            <w:r>
              <w:rPr>
                <w:rFonts w:hint="eastAsia" w:ascii="宋体" w:hAnsi="宋体" w:cs="宋体"/>
                <w:color w:val="000000"/>
                <w:szCs w:val="21"/>
              </w:rPr>
              <w:t>特殊过程为</w:t>
            </w:r>
            <w:r>
              <w:rPr>
                <w:rFonts w:hint="eastAsia" w:ascii="宋体" w:hAnsi="宋体" w:cs="宋体"/>
                <w:color w:val="000000"/>
                <w:szCs w:val="21"/>
                <w:lang w:eastAsia="zh-CN"/>
              </w:rPr>
              <w:t>服务</w:t>
            </w:r>
            <w:r>
              <w:rPr>
                <w:rFonts w:hint="eastAsia" w:ascii="宋体" w:hAnsi="宋体" w:cs="宋体"/>
                <w:color w:val="000000"/>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w:t>
            </w:r>
            <w:r>
              <w:rPr>
                <w:rFonts w:hint="eastAsia" w:ascii="宋体" w:hAnsi="宋体"/>
                <w:szCs w:val="21"/>
              </w:rPr>
              <w:t>1）潜在火灾；2）固废的排放；3）农药泄漏；4）噪声</w:t>
            </w:r>
            <w:r>
              <w:rPr>
                <w:rFonts w:hint="eastAsia" w:asciiTheme="minorEastAsia" w:hAnsiTheme="minorEastAsia" w:eastAsiaTheme="minorEastAsia"/>
                <w:bCs/>
                <w:iCs/>
                <w:szCs w:val="21"/>
              </w:rPr>
              <w:t>，需要应对的风险和机遇相关的过程为办公过程和安装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宋体" w:hAnsi="宋体"/>
                <w:szCs w:val="21"/>
              </w:rPr>
              <w:t>1）火灾2）意外伤害（机械伤害、物体打击、触电、中毒、中暑）</w:t>
            </w:r>
            <w:r>
              <w:rPr>
                <w:rFonts w:hint="eastAsia" w:asciiTheme="minorEastAsia" w:hAnsiTheme="minorEastAsia" w:eastAsiaTheme="minorEastAsia"/>
                <w:bCs/>
                <w:iCs/>
                <w:szCs w:val="21"/>
              </w:rPr>
              <w:t>，与之相关的过程有方案策划过程、数据采集、整理过程。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val="0"/>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ascii="宋体" w:hAnsi="宋体"/>
                <w:b w:val="0"/>
                <w:bCs/>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。同时，质量目标得到沟通和监视评价，通过数据的汇总统计、描述性统计等方法对目标进行了测量，总体已达到或超过了规定的目标值。通过2021年1月-2021年6月目标的测量，总体已达到或超过了规定的目标值。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szCs w:val="21"/>
              </w:rPr>
              <w:t>满意度调查按规定实施，2020年10月实施，满意度评价97分，总体实现了顾客满意度的质量目标要求。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2020年11月15日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szCs w:val="21"/>
              </w:rPr>
              <w:t>涉及人事部QES7.3条款“询问</w:t>
            </w:r>
            <w:r>
              <w:rPr>
                <w:rFonts w:hint="eastAsia" w:ascii="宋体" w:hAnsi="宋体" w:cs="宋体"/>
                <w:color w:val="000000"/>
                <w:kern w:val="0"/>
                <w:szCs w:val="21"/>
              </w:rPr>
              <w:t>部门员工，对GB/T19001-2016标准、GB/T24001-2016标准、GB/T45001-2020标准，公司管理体系文件和环境安全管理制度不够熟悉</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管理评审频次为一年一次、本次管理评审于2020年11月26日由总经理主持完成、提供主要输入材料有各部门总结，输入信息基本充分和满足要求。输出见“管理评审报告”,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val="0"/>
                <w:bCs/>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val="0"/>
                <w:bCs/>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val="0"/>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val="0"/>
                <w:bCs/>
                <w:color w:val="000000" w:themeColor="text1"/>
                <w:spacing w:val="-20"/>
                <w:sz w:val="20"/>
                <w:szCs w:val="20"/>
              </w:rPr>
              <w:t>一阶段问题验证，改进到位。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本次审核共开具不符合项报告1项；其中</w:t>
      </w:r>
      <w:r>
        <w:rPr>
          <w:b/>
          <w:color w:val="000000" w:themeColor="text1"/>
        </w:rPr>
        <w:pict>
          <v:line id="直接连接符 1" o:spid="_x0000_s1029"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000000" w:themeColor="text1"/>
        </w:rPr>
        <w:t>严重不符合 0 项，一般不符合1项，观察项 0 项.不符合项分布在工程部部门Q7.1.5条款，分布见附件。（Q/J/E/S分开填写）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00" w:lineRule="auto"/>
              <w:rPr>
                <w:rFonts w:ascii="宋体" w:hAnsi="宋体"/>
                <w:szCs w:val="21"/>
              </w:rPr>
            </w:pPr>
            <w:r>
              <w:rPr>
                <w:rFonts w:ascii="宋体" w:hAnsi="宋体"/>
                <w:b/>
                <w:color w:val="000000"/>
                <w:sz w:val="20"/>
              </w:rPr>
              <w:t>QMS:</w:t>
            </w:r>
            <w:r>
              <w:rPr>
                <w:rFonts w:hint="eastAsia" w:asciiTheme="minorEastAsia" w:hAnsiTheme="minorEastAsia" w:eastAsiaTheme="minorEastAsia" w:cstheme="minorEastAsia"/>
                <w:szCs w:val="21"/>
                <w:lang w:val="zh-CN"/>
              </w:rPr>
              <w:t xml:space="preserve"> 园林绿化景观工程</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Theme="minorEastAsia" w:hAnsiTheme="minorEastAsia" w:eastAsiaTheme="minorEastAsia" w:cstheme="minorEastAsia"/>
                <w:szCs w:val="21"/>
                <w:lang w:val="zh-CN"/>
              </w:rPr>
              <w:t xml:space="preserve"> 园林绿化景观工程</w:t>
            </w:r>
            <w:r>
              <w:rPr>
                <w:rFonts w:hint="eastAsia" w:ascii="宋体" w:hAnsi="宋体"/>
                <w:szCs w:val="21"/>
              </w:rPr>
              <w:t>所涉及场所的相关环境管理活动。</w:t>
            </w:r>
          </w:p>
          <w:p>
            <w:pPr>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Pr>
                <w:rFonts w:hint="eastAsia" w:asciiTheme="minorEastAsia" w:hAnsiTheme="minorEastAsia" w:eastAsiaTheme="minorEastAsia" w:cstheme="minorEastAsia"/>
                <w:szCs w:val="21"/>
                <w:lang w:val="zh-CN"/>
              </w:rPr>
              <w:t xml:space="preserve"> 园林绿化景观工程</w:t>
            </w:r>
            <w:r>
              <w:rPr>
                <w:rFonts w:hint="eastAsia" w:ascii="宋体" w:hAnsi="宋体"/>
                <w:szCs w:val="21"/>
              </w:rPr>
              <w:t>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val="0"/>
          <w:bCs/>
          <w:color w:val="000000" w:themeColor="text1"/>
          <w:sz w:val="26"/>
          <w:szCs w:val="26"/>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drawing>
          <wp:anchor distT="0" distB="0" distL="114300" distR="114300" simplePos="0" relativeHeight="251663360" behindDoc="0" locked="0" layoutInCell="1" allowOverlap="1">
            <wp:simplePos x="0" y="0"/>
            <wp:positionH relativeFrom="column">
              <wp:posOffset>1636395</wp:posOffset>
            </wp:positionH>
            <wp:positionV relativeFrom="paragraph">
              <wp:posOffset>358775</wp:posOffset>
            </wp:positionV>
            <wp:extent cx="367665" cy="345440"/>
            <wp:effectExtent l="19050" t="0" r="0"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6"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hint="eastAsia"/>
          <w:b/>
          <w:color w:val="000000" w:themeColor="text1"/>
          <w:sz w:val="26"/>
          <w:szCs w:val="26"/>
        </w:rPr>
        <w:t>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drawing>
          <wp:anchor distT="0" distB="0" distL="114300" distR="114300" simplePos="0" relativeHeight="251664384" behindDoc="0" locked="0" layoutInCell="1" allowOverlap="1">
            <wp:simplePos x="0" y="0"/>
            <wp:positionH relativeFrom="column">
              <wp:posOffset>1683385</wp:posOffset>
            </wp:positionH>
            <wp:positionV relativeFrom="paragraph">
              <wp:posOffset>354330</wp:posOffset>
            </wp:positionV>
            <wp:extent cx="420370" cy="321945"/>
            <wp:effectExtent l="19050" t="0" r="0" b="0"/>
            <wp:wrapNone/>
            <wp:docPr id="7"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签名.jpg"/>
                    <pic:cNvPicPr>
                      <a:picLocks noChangeAspect="1" noChangeArrowheads="1"/>
                    </pic:cNvPicPr>
                  </pic:nvPicPr>
                  <pic:blipFill>
                    <a:blip r:embed="rId7"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日期2021</w:t>
      </w:r>
      <w:r>
        <w:rPr>
          <w:rFonts w:hint="eastAsia" w:asciiTheme="minorEastAsia" w:hAnsiTheme="minorEastAsia" w:eastAsiaTheme="minorEastAsia"/>
          <w:b/>
          <w:color w:val="000000" w:themeColor="text1"/>
        </w:rPr>
        <w:t>年 7月 18日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zCs w:val="21"/>
        </w:rPr>
        <w:t>QMS( 1 )个一般不符合，( 0 )个严重不符合，■验证合格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OHSMS(   )个一般不符合，(  )个严重不符合，□验证合格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drawing>
          <wp:anchor distT="0" distB="0" distL="114300" distR="114300" simplePos="0" relativeHeight="251662336" behindDoc="0" locked="0" layoutInCell="1" allowOverlap="1">
            <wp:simplePos x="0" y="0"/>
            <wp:positionH relativeFrom="column">
              <wp:posOffset>768985</wp:posOffset>
            </wp:positionH>
            <wp:positionV relativeFrom="paragraph">
              <wp:posOffset>100330</wp:posOffset>
            </wp:positionV>
            <wp:extent cx="369570"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69570" cy="3454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 w:val="24"/>
        </w:rPr>
        <w:t>2021 年7月20日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w w:val="115"/>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2" w:name="_GoBack"/>
      <w:bookmarkEnd w:id="22"/>
    </w:p>
    <w:p>
      <w:pPr>
        <w:rPr>
          <w:rFonts w:ascii="宋体" w:hAnsi="宋体"/>
          <w:b/>
          <w:color w:val="000000" w:themeColor="text1"/>
          <w:sz w:val="26"/>
          <w:szCs w:val="26"/>
        </w:rPr>
      </w:pPr>
    </w:p>
    <w:p>
      <w:pPr>
        <w:ind w:left="-1" w:leftChars="-337" w:hanging="707" w:hangingChars="271"/>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2680083D"/>
    <w:multiLevelType w:val="singleLevel"/>
    <w:tmpl w:val="2680083D"/>
    <w:lvl w:ilvl="0" w:tentative="0">
      <w:start w:val="8"/>
      <w:numFmt w:val="decimal"/>
      <w:suff w:val="space"/>
      <w:lvlText w:val="%1."/>
      <w:lvlJc w:val="left"/>
    </w:lvl>
  </w:abstractNum>
  <w:abstractNum w:abstractNumId="2">
    <w:nsid w:val="2CC97A77"/>
    <w:multiLevelType w:val="singleLevel"/>
    <w:tmpl w:val="2CC97A77"/>
    <w:lvl w:ilvl="0" w:tentative="0">
      <w:start w:val="4"/>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4CC7"/>
    <w:rsid w:val="00085E9B"/>
    <w:rsid w:val="002E3279"/>
    <w:rsid w:val="003778F6"/>
    <w:rsid w:val="003B7921"/>
    <w:rsid w:val="004A2068"/>
    <w:rsid w:val="004E27FA"/>
    <w:rsid w:val="00924BE5"/>
    <w:rsid w:val="00A54F45"/>
    <w:rsid w:val="00B04CC7"/>
    <w:rsid w:val="00C36662"/>
    <w:rsid w:val="00D438C7"/>
    <w:rsid w:val="00DA4C36"/>
    <w:rsid w:val="00F24EB2"/>
    <w:rsid w:val="00FB2F5A"/>
    <w:rsid w:val="58426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1419</Words>
  <Characters>8089</Characters>
  <Lines>67</Lines>
  <Paragraphs>18</Paragraphs>
  <TotalTime>3</TotalTime>
  <ScaleCrop>false</ScaleCrop>
  <LinksUpToDate>false</LinksUpToDate>
  <CharactersWithSpaces>9490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2021-07-16T03:02:17Z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4FD7E1D1BEF94ECB8F3E9F12B7A9ABFA</vt:lpwstr>
  </property>
</Properties>
</file>