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pPr>
        <w:spacing w:line="480" w:lineRule="exact"/>
        <w:jc w:val="left"/>
        <w:rPr>
          <w:sz w:val="24"/>
          <w:szCs w:val="24"/>
        </w:rPr>
      </w:pPr>
      <w:r>
        <w:rPr>
          <w:rFonts w:hint="eastAsia"/>
          <w:sz w:val="24"/>
          <w:szCs w:val="24"/>
        </w:rPr>
        <w:t xml:space="preserve">受审核部门：管理层、人事部、工程部、市场部、财务部    </w:t>
      </w:r>
    </w:p>
    <w:p>
      <w:pPr>
        <w:spacing w:line="480" w:lineRule="exact"/>
        <w:jc w:val="left"/>
        <w:rPr>
          <w:rFonts w:ascii="隶书" w:hAnsi="宋体"/>
          <w:bCs/>
          <w:color w:val="000000"/>
          <w:sz w:val="36"/>
          <w:szCs w:val="36"/>
        </w:rPr>
      </w:pPr>
      <w:r>
        <w:rPr>
          <w:rFonts w:hint="eastAsia"/>
          <w:sz w:val="24"/>
          <w:szCs w:val="24"/>
        </w:rPr>
        <w:t>陪同人员：裴丽丽 ，  审核员：文平、张心，   审核时间：</w:t>
      </w:r>
      <w:bookmarkStart w:id="0" w:name="审核开始日"/>
      <w:r>
        <w:rPr>
          <w:rFonts w:hint="eastAsia"/>
          <w:color w:val="000000"/>
          <w:szCs w:val="21"/>
        </w:rPr>
        <w:t>2021年7月14日</w:t>
      </w:r>
      <w:bookmarkEnd w:id="0"/>
    </w:p>
    <w:tbl>
      <w:tblPr>
        <w:tblStyle w:val="8"/>
        <w:tblW w:w="15134"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7"/>
        <w:gridCol w:w="14"/>
        <w:gridCol w:w="9557"/>
        <w:gridCol w:w="22"/>
        <w:gridCol w:w="1003"/>
        <w:gridCol w:w="829"/>
        <w:gridCol w:w="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325" w:hRule="atLeast"/>
          <w:tblHeader/>
        </w:trPr>
        <w:tc>
          <w:tcPr>
            <w:tcW w:w="3687" w:type="dxa"/>
            <w:shd w:val="clear" w:color="auto" w:fill="E6E6E6"/>
            <w:vAlign w:val="center"/>
          </w:tcPr>
          <w:p>
            <w:pPr>
              <w:spacing w:line="0" w:lineRule="atLeast"/>
              <w:jc w:val="center"/>
              <w:rPr>
                <w:rFonts w:ascii="宋体" w:hAnsi="宋体"/>
                <w:szCs w:val="21"/>
              </w:rPr>
            </w:pPr>
            <w:r>
              <w:rPr>
                <w:rFonts w:hint="eastAsia" w:ascii="宋体" w:hAnsi="宋体"/>
                <w:szCs w:val="21"/>
              </w:rPr>
              <w:t>审核员</w:t>
            </w:r>
          </w:p>
        </w:tc>
        <w:tc>
          <w:tcPr>
            <w:tcW w:w="11425" w:type="dxa"/>
            <w:gridSpan w:val="5"/>
            <w:shd w:val="clear" w:color="auto" w:fill="E6E6E6"/>
            <w:vAlign w:val="center"/>
          </w:tcPr>
          <w:p>
            <w:pPr>
              <w:spacing w:line="0" w:lineRule="atLeast"/>
              <w:jc w:val="center"/>
              <w:rPr>
                <w:rFonts w:ascii="宋体" w:hAnsi="宋体"/>
                <w:szCs w:val="21"/>
              </w:rPr>
            </w:pPr>
            <w:r>
              <w:rPr>
                <w:rFonts w:hint="eastAsia"/>
                <w:szCs w:val="21"/>
              </w:rPr>
              <w:t>文平、张心（只审核QMS）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325" w:hRule="atLeast"/>
          <w:tblHeader/>
        </w:trPr>
        <w:tc>
          <w:tcPr>
            <w:tcW w:w="3687" w:type="dxa"/>
            <w:shd w:val="clear" w:color="auto" w:fill="E6E6E6"/>
            <w:vAlign w:val="center"/>
          </w:tcPr>
          <w:p>
            <w:pPr>
              <w:spacing w:line="0" w:lineRule="atLeast"/>
              <w:jc w:val="center"/>
              <w:rPr>
                <w:rFonts w:ascii="宋体" w:hAnsi="宋体"/>
                <w:szCs w:val="21"/>
              </w:rPr>
            </w:pPr>
            <w:r>
              <w:rPr>
                <w:rFonts w:hint="eastAsia" w:ascii="宋体" w:hAnsi="宋体"/>
                <w:szCs w:val="21"/>
              </w:rPr>
              <w:t>检  查  表</w:t>
            </w:r>
          </w:p>
        </w:tc>
        <w:tc>
          <w:tcPr>
            <w:tcW w:w="9571" w:type="dxa"/>
            <w:gridSpan w:val="2"/>
            <w:shd w:val="clear" w:color="auto" w:fill="E6E6E6"/>
            <w:vAlign w:val="center"/>
          </w:tcPr>
          <w:p>
            <w:pPr>
              <w:spacing w:line="0" w:lineRule="atLeast"/>
              <w:jc w:val="center"/>
              <w:rPr>
                <w:rFonts w:ascii="宋体" w:hAnsi="宋体"/>
                <w:szCs w:val="21"/>
              </w:rPr>
            </w:pPr>
            <w:r>
              <w:rPr>
                <w:rFonts w:hint="eastAsia" w:ascii="宋体" w:hAnsi="宋体"/>
                <w:szCs w:val="21"/>
              </w:rPr>
              <w:t>审   核   记   录</w:t>
            </w:r>
          </w:p>
        </w:tc>
        <w:tc>
          <w:tcPr>
            <w:tcW w:w="1025" w:type="dxa"/>
            <w:gridSpan w:val="2"/>
            <w:shd w:val="clear" w:color="auto" w:fill="E6E6E6"/>
            <w:vAlign w:val="center"/>
          </w:tcPr>
          <w:p>
            <w:pPr>
              <w:spacing w:line="0" w:lineRule="atLeast"/>
              <w:jc w:val="center"/>
              <w:rPr>
                <w:rFonts w:ascii="宋体" w:hAnsi="宋体"/>
                <w:szCs w:val="21"/>
              </w:rPr>
            </w:pPr>
            <w:r>
              <w:rPr>
                <w:rFonts w:hint="eastAsia" w:ascii="宋体" w:hAnsi="宋体"/>
                <w:szCs w:val="21"/>
              </w:rPr>
              <w:t>标准号</w:t>
            </w:r>
          </w:p>
          <w:p>
            <w:pPr>
              <w:spacing w:line="0" w:lineRule="atLeast"/>
              <w:jc w:val="center"/>
              <w:rPr>
                <w:rFonts w:ascii="宋体" w:hAnsi="宋体"/>
                <w:szCs w:val="21"/>
              </w:rPr>
            </w:pPr>
            <w:r>
              <w:rPr>
                <w:rFonts w:hint="eastAsia" w:ascii="宋体" w:hAnsi="宋体"/>
                <w:szCs w:val="21"/>
              </w:rPr>
              <w:t>条款号</w:t>
            </w:r>
          </w:p>
        </w:tc>
        <w:tc>
          <w:tcPr>
            <w:tcW w:w="829" w:type="dxa"/>
            <w:shd w:val="clear" w:color="auto" w:fill="E6E6E6"/>
            <w:vAlign w:val="center"/>
          </w:tcPr>
          <w:p>
            <w:pPr>
              <w:spacing w:line="0" w:lineRule="atLeast"/>
              <w:jc w:val="center"/>
              <w:rPr>
                <w:rFonts w:ascii="宋体" w:hAnsi="宋体"/>
                <w:szCs w:val="21"/>
              </w:rPr>
            </w:pPr>
            <w:r>
              <w:rPr>
                <w:rFonts w:hint="eastAsia" w:ascii="宋体" w:hAnsi="宋体"/>
                <w:szCs w:val="21"/>
              </w:rPr>
              <w:t>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868" w:hRule="atLeast"/>
        </w:trPr>
        <w:tc>
          <w:tcPr>
            <w:tcW w:w="3687" w:type="dxa"/>
          </w:tcPr>
          <w:p>
            <w:pPr>
              <w:spacing w:line="400" w:lineRule="exact"/>
              <w:rPr>
                <w:rFonts w:ascii="宋体" w:hAnsi="宋体"/>
                <w:szCs w:val="21"/>
              </w:rPr>
            </w:pPr>
            <w:r>
              <w:rPr>
                <w:rFonts w:hint="eastAsia" w:ascii="宋体" w:hAnsi="宋体"/>
                <w:szCs w:val="21"/>
              </w:rPr>
              <w:t>企业简介、组织机构及场所、资质</w:t>
            </w:r>
          </w:p>
          <w:p>
            <w:pPr>
              <w:spacing w:line="400" w:lineRule="exact"/>
              <w:rPr>
                <w:rFonts w:ascii="宋体" w:hAnsi="宋体"/>
                <w:szCs w:val="21"/>
              </w:rPr>
            </w:pPr>
            <w:r>
              <w:rPr>
                <w:rFonts w:hint="eastAsia" w:ascii="宋体" w:hAnsi="宋体"/>
                <w:szCs w:val="21"/>
              </w:rPr>
              <w:t>QMS审核，询问主要设备、原材料、关键过程</w:t>
            </w:r>
          </w:p>
          <w:p>
            <w:pPr>
              <w:spacing w:line="400" w:lineRule="exact"/>
              <w:rPr>
                <w:rFonts w:ascii="宋体" w:hAnsi="宋体"/>
                <w:szCs w:val="21"/>
              </w:rPr>
            </w:pPr>
            <w:r>
              <w:rPr>
                <w:rFonts w:hint="eastAsia" w:ascii="宋体" w:hAnsi="宋体"/>
                <w:szCs w:val="21"/>
              </w:rPr>
              <w:t>EMS审核，询问有无以下场所</w:t>
            </w:r>
          </w:p>
          <w:p>
            <w:pPr>
              <w:spacing w:line="400" w:lineRule="exact"/>
              <w:rPr>
                <w:rFonts w:ascii="宋体" w:hAnsi="宋体"/>
                <w:szCs w:val="21"/>
              </w:rPr>
            </w:pPr>
            <w:r>
              <w:rPr>
                <w:rFonts w:hint="eastAsia" w:ascii="宋体" w:hAnsi="宋体"/>
                <w:szCs w:val="21"/>
              </w:rPr>
              <w:t>锅炉房、配电室、实验室、化学品库、污水处理站、食堂、宿舍、空压机房</w:t>
            </w:r>
          </w:p>
          <w:p>
            <w:pPr>
              <w:spacing w:line="400" w:lineRule="exact"/>
              <w:rPr>
                <w:rFonts w:ascii="宋体" w:hAnsi="宋体"/>
                <w:szCs w:val="21"/>
              </w:rPr>
            </w:pPr>
            <w:r>
              <w:rPr>
                <w:rFonts w:hint="eastAsia" w:ascii="宋体" w:hAnsi="宋体"/>
                <w:szCs w:val="21"/>
              </w:rPr>
              <w:t>管理体系运行时间（3 个月以上）</w:t>
            </w:r>
          </w:p>
          <w:p>
            <w:pPr>
              <w:spacing w:line="400" w:lineRule="exact"/>
              <w:rPr>
                <w:rFonts w:ascii="宋体" w:hAnsi="宋体"/>
                <w:szCs w:val="21"/>
              </w:rPr>
            </w:pPr>
            <w:r>
              <w:rPr>
                <w:rFonts w:hint="eastAsia" w:ascii="宋体" w:hAnsi="宋体"/>
                <w:szCs w:val="21"/>
              </w:rPr>
              <w:t>确认组织实际与管理体系文件化信息描述的一致性</w:t>
            </w:r>
          </w:p>
          <w:p>
            <w:pPr>
              <w:spacing w:line="400" w:lineRule="exact"/>
              <w:rPr>
                <w:rFonts w:ascii="宋体" w:hAnsi="宋体"/>
                <w:szCs w:val="21"/>
              </w:rPr>
            </w:pPr>
            <w:r>
              <w:rPr>
                <w:rFonts w:hint="eastAsia" w:ascii="宋体" w:hAnsi="宋体"/>
                <w:szCs w:val="21"/>
              </w:rPr>
              <w:t>（如部门设置和负责人，生产和服务等过程）</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管理体系文件名称</w:t>
            </w:r>
          </w:p>
          <w:p>
            <w:pPr>
              <w:spacing w:line="400" w:lineRule="exact"/>
              <w:rPr>
                <w:rFonts w:ascii="宋体" w:hAnsi="宋体"/>
                <w:szCs w:val="21"/>
              </w:rPr>
            </w:pPr>
          </w:p>
        </w:tc>
        <w:tc>
          <w:tcPr>
            <w:tcW w:w="9571" w:type="dxa"/>
            <w:gridSpan w:val="2"/>
          </w:tcPr>
          <w:p>
            <w:pPr>
              <w:spacing w:line="0" w:lineRule="atLeast"/>
              <w:ind w:firstLine="420" w:firstLineChars="200"/>
              <w:jc w:val="left"/>
              <w:rPr>
                <w:rFonts w:asciiTheme="minorEastAsia" w:hAnsiTheme="minorEastAsia" w:eastAsiaTheme="minorEastAsia" w:cstheme="minorEastAsia"/>
                <w:szCs w:val="21"/>
                <w:lang w:val="zh-CN"/>
              </w:rPr>
            </w:pPr>
            <w:bookmarkStart w:id="1" w:name="组织名称"/>
            <w:r>
              <w:rPr>
                <w:rFonts w:hint="eastAsia" w:asciiTheme="minorEastAsia" w:hAnsiTheme="minorEastAsia" w:eastAsiaTheme="minorEastAsia" w:cstheme="minorEastAsia"/>
                <w:szCs w:val="21"/>
                <w:lang w:val="zh-CN"/>
              </w:rPr>
              <w:t>黑龙江佳和市政工程有限公司</w:t>
            </w:r>
            <w:bookmarkEnd w:id="1"/>
            <w:r>
              <w:rPr>
                <w:rFonts w:hint="eastAsia" w:asciiTheme="minorEastAsia" w:hAnsiTheme="minorEastAsia" w:eastAsiaTheme="minorEastAsia" w:cstheme="minorEastAsia"/>
                <w:szCs w:val="21"/>
                <w:lang w:val="zh-CN"/>
              </w:rPr>
              <w:t>，成立于20</w:t>
            </w:r>
            <w:r>
              <w:rPr>
                <w:rFonts w:hint="eastAsia" w:asciiTheme="minorEastAsia" w:hAnsiTheme="minorEastAsia" w:eastAsiaTheme="minorEastAsia" w:cstheme="minorEastAsia"/>
                <w:szCs w:val="21"/>
              </w:rPr>
              <w:t>10</w:t>
            </w:r>
            <w:r>
              <w:rPr>
                <w:rFonts w:hint="eastAsia" w:asciiTheme="minorEastAsia" w:hAnsiTheme="minorEastAsia" w:eastAsiaTheme="minorEastAsia" w:cstheme="minorEastAsia"/>
                <w:szCs w:val="21"/>
                <w:lang w:val="zh-CN"/>
              </w:rPr>
              <w:t>年</w:t>
            </w:r>
            <w:r>
              <w:rPr>
                <w:rFonts w:hint="eastAsia" w:asciiTheme="minorEastAsia" w:hAnsiTheme="minorEastAsia" w:eastAsiaTheme="minorEastAsia" w:cstheme="minorEastAsia"/>
                <w:szCs w:val="21"/>
              </w:rPr>
              <w:t>4月</w:t>
            </w:r>
            <w:r>
              <w:rPr>
                <w:rFonts w:hint="eastAsia" w:asciiTheme="minorEastAsia" w:hAnsiTheme="minorEastAsia" w:eastAsiaTheme="minorEastAsia" w:cstheme="minorEastAsia"/>
                <w:szCs w:val="21"/>
                <w:lang w:val="zh-CN"/>
              </w:rPr>
              <w:t>；是一家专业从事园林绿化景观工程的公司。现有员工</w:t>
            </w:r>
            <w:r>
              <w:rPr>
                <w:rFonts w:hint="eastAsia" w:asciiTheme="minorEastAsia" w:hAnsiTheme="minorEastAsia" w:eastAsiaTheme="minorEastAsia" w:cstheme="minorEastAsia"/>
                <w:szCs w:val="21"/>
              </w:rPr>
              <w:t>13</w:t>
            </w:r>
            <w:r>
              <w:rPr>
                <w:rFonts w:hint="eastAsia" w:asciiTheme="minorEastAsia" w:hAnsiTheme="minorEastAsia" w:eastAsiaTheme="minorEastAsia" w:cstheme="minorEastAsia"/>
                <w:szCs w:val="21"/>
                <w:lang w:val="zh-CN"/>
              </w:rPr>
              <w:t>人，目前经营情况良好。</w:t>
            </w:r>
          </w:p>
          <w:p>
            <w:pPr>
              <w:spacing w:line="0" w:lineRule="atLeast"/>
              <w:ind w:firstLine="420" w:firstLineChars="200"/>
              <w:jc w:val="left"/>
              <w:rPr>
                <w:rFonts w:asciiTheme="minorEastAsia" w:hAnsiTheme="minorEastAsia" w:eastAsiaTheme="minorEastAsia" w:cstheme="minorEastAsia"/>
                <w:szCs w:val="21"/>
                <w:lang w:val="zh-CN"/>
              </w:rPr>
            </w:pPr>
          </w:p>
          <w:p>
            <w:pPr>
              <w:spacing w:line="0" w:lineRule="atLeast"/>
              <w:ind w:firstLine="420" w:firstLineChars="200"/>
              <w:jc w:val="left"/>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查见企业营业执照副本，企业经营范围包含认证产品，具备有效资格，详见复印件。</w:t>
            </w:r>
          </w:p>
          <w:p>
            <w:pPr>
              <w:spacing w:line="0" w:lineRule="atLeast"/>
              <w:ind w:firstLine="420" w:firstLineChars="200"/>
              <w:jc w:val="left"/>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该公司目前成立了四个部门：</w:t>
            </w:r>
            <w:r>
              <w:rPr>
                <w:rFonts w:hint="eastAsia" w:asciiTheme="minorEastAsia" w:hAnsiTheme="minorEastAsia" w:eastAsiaTheme="minorEastAsia" w:cstheme="minorEastAsia"/>
                <w:szCs w:val="21"/>
              </w:rPr>
              <w:t>人事部</w:t>
            </w:r>
            <w:r>
              <w:rPr>
                <w:rFonts w:hint="eastAsia" w:asciiTheme="minorEastAsia" w:hAnsiTheme="minorEastAsia" w:eastAsiaTheme="minorEastAsia" w:cstheme="minorEastAsia"/>
                <w:szCs w:val="21"/>
                <w:lang w:val="zh-CN"/>
              </w:rPr>
              <w:t>、</w:t>
            </w:r>
            <w:r>
              <w:rPr>
                <w:rFonts w:hint="eastAsia" w:asciiTheme="minorEastAsia" w:hAnsiTheme="minorEastAsia" w:eastAsiaTheme="minorEastAsia" w:cstheme="minorEastAsia"/>
                <w:szCs w:val="21"/>
              </w:rPr>
              <w:t>工程部、市场</w:t>
            </w:r>
            <w:r>
              <w:rPr>
                <w:rFonts w:hint="eastAsia" w:asciiTheme="minorEastAsia" w:hAnsiTheme="minorEastAsia" w:eastAsiaTheme="minorEastAsia" w:cstheme="minorEastAsia"/>
                <w:szCs w:val="21"/>
                <w:lang w:val="zh-CN"/>
              </w:rPr>
              <w:t>部、</w:t>
            </w:r>
            <w:r>
              <w:rPr>
                <w:rFonts w:hint="eastAsia" w:asciiTheme="minorEastAsia" w:hAnsiTheme="minorEastAsia" w:eastAsiaTheme="minorEastAsia" w:cstheme="minorEastAsia"/>
                <w:szCs w:val="21"/>
              </w:rPr>
              <w:t>财务部</w:t>
            </w:r>
            <w:r>
              <w:rPr>
                <w:rFonts w:hint="eastAsia" w:asciiTheme="minorEastAsia" w:hAnsiTheme="minorEastAsia" w:eastAsiaTheme="minorEastAsia" w:cstheme="minorEastAsia"/>
                <w:szCs w:val="21"/>
                <w:lang w:val="zh-CN"/>
              </w:rPr>
              <w:t>。</w:t>
            </w:r>
          </w:p>
          <w:p>
            <w:pPr>
              <w:spacing w:line="0" w:lineRule="atLeast"/>
              <w:ind w:firstLine="420" w:firstLineChars="200"/>
              <w:jc w:val="left"/>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抽查：组织机构图、职能分配表、职责描述，基本保持一致。</w:t>
            </w:r>
          </w:p>
          <w:p>
            <w:pPr>
              <w:spacing w:line="0" w:lineRule="atLeast"/>
              <w:ind w:firstLine="420" w:firstLineChars="200"/>
              <w:jc w:val="left"/>
              <w:rPr>
                <w:rFonts w:asciiTheme="minorEastAsia" w:hAnsiTheme="minorEastAsia" w:eastAsiaTheme="minorEastAsia" w:cstheme="minorEastAsia"/>
                <w:szCs w:val="21"/>
                <w:lang w:val="zh-CN"/>
              </w:rPr>
            </w:pPr>
          </w:p>
          <w:p>
            <w:pPr>
              <w:spacing w:line="0" w:lineRule="atLeast"/>
              <w:ind w:firstLine="420" w:firstLineChars="200"/>
              <w:jc w:val="left"/>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核实：</w:t>
            </w:r>
            <w:r>
              <w:rPr>
                <w:rFonts w:hint="eastAsia" w:asciiTheme="minorEastAsia" w:hAnsiTheme="minorEastAsia" w:eastAsiaTheme="minorEastAsia" w:cstheme="minorEastAsia"/>
                <w:szCs w:val="21"/>
                <w:lang w:val="de-DE"/>
              </w:rPr>
              <w:t>生产经营地址</w:t>
            </w:r>
            <w:r>
              <w:rPr>
                <w:rFonts w:hint="eastAsia" w:asciiTheme="minorEastAsia" w:hAnsiTheme="minorEastAsia" w:eastAsiaTheme="minorEastAsia" w:cstheme="minorEastAsia"/>
                <w:szCs w:val="21"/>
                <w:lang w:val="zh-CN"/>
              </w:rPr>
              <w:t>：</w:t>
            </w:r>
            <w:bookmarkStart w:id="2" w:name="生产地址"/>
            <w:r>
              <w:rPr>
                <w:rFonts w:hint="eastAsia" w:asciiTheme="minorEastAsia" w:hAnsiTheme="minorEastAsia" w:eastAsiaTheme="minorEastAsia" w:cstheme="minorEastAsia"/>
                <w:szCs w:val="21"/>
                <w:lang w:val="zh-CN"/>
              </w:rPr>
              <w:t>哈尔滨市道外区南直路345号C3栋5单元1层2号</w:t>
            </w:r>
            <w:bookmarkEnd w:id="2"/>
            <w:r>
              <w:rPr>
                <w:rFonts w:hint="eastAsia" w:asciiTheme="minorEastAsia" w:hAnsiTheme="minorEastAsia" w:eastAsiaTheme="minorEastAsia" w:cstheme="minorEastAsia"/>
                <w:szCs w:val="21"/>
                <w:lang w:val="zh-CN"/>
              </w:rPr>
              <w:t>，与任务书一致。</w:t>
            </w:r>
          </w:p>
          <w:p>
            <w:pPr>
              <w:spacing w:line="0" w:lineRule="atLeast"/>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临时服务项目/场所：</w:t>
            </w:r>
            <w:r>
              <w:rPr>
                <w:rFonts w:hint="eastAsia" w:asciiTheme="minorEastAsia" w:hAnsiTheme="minorEastAsia" w:eastAsiaTheme="minorEastAsia" w:cstheme="minorEastAsia"/>
                <w:szCs w:val="21"/>
                <w:lang w:val="zh-CN"/>
              </w:rPr>
              <w:t>哈尔滨市文化中心基础设施及景观绿化工程附属工程老堤防外围区城绿化工程；哈尔滨市松北区剧院二路</w:t>
            </w:r>
            <w:r>
              <w:rPr>
                <w:rFonts w:hint="eastAsia" w:asciiTheme="minorEastAsia" w:hAnsiTheme="minorEastAsia" w:eastAsiaTheme="minorEastAsia" w:cstheme="minorEastAsia"/>
                <w:szCs w:val="21"/>
              </w:rPr>
              <w:t>，与申报资料一致。</w:t>
            </w:r>
          </w:p>
          <w:p>
            <w:pPr>
              <w:spacing w:line="0" w:lineRule="atLeast"/>
              <w:ind w:firstLine="420" w:firstLineChars="200"/>
              <w:jc w:val="left"/>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经确认，认证范围为</w:t>
            </w:r>
          </w:p>
          <w:p>
            <w:pPr>
              <w:spacing w:line="0" w:lineRule="atLeast"/>
              <w:ind w:firstLine="420" w:firstLineChars="200"/>
              <w:jc w:val="left"/>
              <w:rPr>
                <w:rFonts w:asciiTheme="minorEastAsia" w:hAnsiTheme="minorEastAsia" w:eastAsiaTheme="minorEastAsia" w:cstheme="minorEastAsia"/>
                <w:szCs w:val="21"/>
                <w:lang w:val="zh-CN"/>
              </w:rPr>
            </w:pPr>
            <w:bookmarkStart w:id="3" w:name="审核范围"/>
            <w:r>
              <w:rPr>
                <w:rFonts w:hint="eastAsia" w:asciiTheme="minorEastAsia" w:hAnsiTheme="minorEastAsia" w:eastAsiaTheme="minorEastAsia" w:cstheme="minorEastAsia"/>
                <w:szCs w:val="21"/>
                <w:lang w:val="zh-CN"/>
              </w:rPr>
              <w:t>Q：园林绿化景观工程</w:t>
            </w:r>
          </w:p>
          <w:p>
            <w:pPr>
              <w:spacing w:line="0" w:lineRule="atLeast"/>
              <w:ind w:firstLine="420" w:firstLineChars="200"/>
              <w:jc w:val="left"/>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E：园林绿化景观工程所涉及场所的相关环境管理活动</w:t>
            </w:r>
          </w:p>
          <w:p>
            <w:pPr>
              <w:spacing w:line="0" w:lineRule="atLeast"/>
              <w:ind w:firstLine="420" w:firstLineChars="200"/>
              <w:jc w:val="left"/>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O：园林绿化景观工程所涉及场所的相关职业健康安全管理活动</w:t>
            </w:r>
            <w:bookmarkEnd w:id="3"/>
            <w:r>
              <w:rPr>
                <w:rFonts w:hint="eastAsia" w:asciiTheme="minorEastAsia" w:hAnsiTheme="minorEastAsia" w:eastAsiaTheme="minorEastAsia" w:cstheme="minorEastAsia"/>
                <w:szCs w:val="21"/>
                <w:lang w:val="zh-CN"/>
              </w:rPr>
              <w:t xml:space="preserve"> </w:t>
            </w:r>
          </w:p>
          <w:p>
            <w:pPr>
              <w:spacing w:line="0" w:lineRule="atLeast"/>
              <w:ind w:firstLine="420" w:firstLineChars="200"/>
              <w:jc w:val="left"/>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   询问，公司配置的设备主要有电脑、打印机、修剪机、高枝剪、尖镐、喷雾器、灌水设备、手推车等。</w:t>
            </w:r>
          </w:p>
          <w:p>
            <w:pPr>
              <w:spacing w:line="0" w:lineRule="atLeast"/>
              <w:ind w:firstLine="420" w:firstLineChars="200"/>
              <w:jc w:val="left"/>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关键</w:t>
            </w:r>
            <w:r>
              <w:rPr>
                <w:rFonts w:hint="eastAsia" w:asciiTheme="minorEastAsia" w:hAnsiTheme="minorEastAsia" w:eastAsiaTheme="minorEastAsia" w:cstheme="minorEastAsia"/>
                <w:szCs w:val="21"/>
              </w:rPr>
              <w:t>/确认过程：服务过程</w:t>
            </w:r>
            <w:r>
              <w:rPr>
                <w:rFonts w:hint="eastAsia" w:asciiTheme="minorEastAsia" w:hAnsiTheme="minorEastAsia" w:eastAsiaTheme="minorEastAsia" w:cstheme="minorEastAsia"/>
                <w:szCs w:val="21"/>
                <w:lang w:val="zh-CN"/>
              </w:rPr>
              <w:t>。</w:t>
            </w:r>
          </w:p>
          <w:p>
            <w:pPr>
              <w:spacing w:line="0" w:lineRule="atLeast"/>
              <w:ind w:firstLine="420" w:firstLineChars="200"/>
              <w:jc w:val="left"/>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查体系运行时间：20</w:t>
            </w:r>
            <w:r>
              <w:rPr>
                <w:rFonts w:hint="eastAsia" w:asciiTheme="minorEastAsia" w:hAnsiTheme="minorEastAsia" w:eastAsiaTheme="minorEastAsia" w:cstheme="minorEastAsia"/>
                <w:szCs w:val="21"/>
              </w:rPr>
              <w:t>21</w:t>
            </w:r>
            <w:r>
              <w:rPr>
                <w:rFonts w:hint="eastAsia" w:asciiTheme="minorEastAsia" w:hAnsiTheme="minorEastAsia" w:eastAsiaTheme="minorEastAsia" w:cstheme="minorEastAsia"/>
                <w:szCs w:val="21"/>
                <w:lang w:val="zh-CN"/>
              </w:rPr>
              <w:t>年</w:t>
            </w:r>
            <w:r>
              <w:rPr>
                <w:rFonts w:hint="eastAsia" w:asciiTheme="minorEastAsia" w:hAnsiTheme="minorEastAsia" w:eastAsiaTheme="minorEastAsia" w:cstheme="minorEastAsia"/>
                <w:szCs w:val="21"/>
              </w:rPr>
              <w:t>8</w:t>
            </w:r>
            <w:r>
              <w:rPr>
                <w:rFonts w:hint="eastAsia" w:asciiTheme="minorEastAsia" w:hAnsiTheme="minorEastAsia" w:eastAsiaTheme="minorEastAsia" w:cstheme="minorEastAsia"/>
                <w:szCs w:val="21"/>
                <w:lang w:val="zh-CN"/>
              </w:rPr>
              <w:t>月</w:t>
            </w:r>
            <w:r>
              <w:rPr>
                <w:rFonts w:hint="eastAsia" w:asciiTheme="minorEastAsia" w:hAnsiTheme="minorEastAsia" w:eastAsiaTheme="minorEastAsia" w:cstheme="minorEastAsia"/>
                <w:szCs w:val="21"/>
              </w:rPr>
              <w:t>10</w:t>
            </w:r>
            <w:r>
              <w:rPr>
                <w:rFonts w:hint="eastAsia" w:asciiTheme="minorEastAsia" w:hAnsiTheme="minorEastAsia" w:eastAsiaTheme="minorEastAsia" w:cstheme="minorEastAsia"/>
                <w:szCs w:val="21"/>
                <w:lang w:val="zh-CN"/>
              </w:rPr>
              <w:t>日。</w:t>
            </w:r>
          </w:p>
          <w:p>
            <w:pPr>
              <w:spacing w:line="0" w:lineRule="atLeast"/>
              <w:ind w:firstLine="420" w:firstLineChars="200"/>
              <w:jc w:val="left"/>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组织实际与管理体系文件化信息描述基本一致。有</w:t>
            </w:r>
            <w:r>
              <w:rPr>
                <w:rFonts w:hint="eastAsia" w:asciiTheme="minorEastAsia" w:hAnsiTheme="minorEastAsia" w:eastAsiaTheme="minorEastAsia" w:cstheme="minorEastAsia"/>
                <w:szCs w:val="21"/>
              </w:rPr>
              <w:t>管理</w:t>
            </w:r>
            <w:r>
              <w:rPr>
                <w:rFonts w:hint="eastAsia" w:asciiTheme="minorEastAsia" w:hAnsiTheme="minorEastAsia" w:eastAsiaTheme="minorEastAsia" w:cstheme="minorEastAsia"/>
                <w:szCs w:val="21"/>
                <w:lang w:val="zh-CN"/>
              </w:rPr>
              <w:t>层、</w:t>
            </w:r>
            <w:r>
              <w:rPr>
                <w:rFonts w:hint="eastAsia" w:asciiTheme="minorEastAsia" w:hAnsiTheme="minorEastAsia" w:eastAsiaTheme="minorEastAsia" w:cstheme="minorEastAsia"/>
                <w:szCs w:val="21"/>
              </w:rPr>
              <w:t>人事部</w:t>
            </w:r>
            <w:r>
              <w:rPr>
                <w:rFonts w:hint="eastAsia" w:asciiTheme="minorEastAsia" w:hAnsiTheme="minorEastAsia" w:eastAsiaTheme="minorEastAsia" w:cstheme="minorEastAsia"/>
                <w:szCs w:val="21"/>
                <w:lang w:val="zh-CN"/>
              </w:rPr>
              <w:t>、</w:t>
            </w:r>
            <w:r>
              <w:rPr>
                <w:rFonts w:hint="eastAsia" w:asciiTheme="minorEastAsia" w:hAnsiTheme="minorEastAsia" w:eastAsiaTheme="minorEastAsia" w:cstheme="minorEastAsia"/>
                <w:szCs w:val="21"/>
              </w:rPr>
              <w:t>工程部、市场</w:t>
            </w:r>
            <w:r>
              <w:rPr>
                <w:rFonts w:hint="eastAsia" w:asciiTheme="minorEastAsia" w:hAnsiTheme="minorEastAsia" w:eastAsiaTheme="minorEastAsia" w:cstheme="minorEastAsia"/>
                <w:szCs w:val="21"/>
                <w:lang w:val="zh-CN"/>
              </w:rPr>
              <w:t>部、</w:t>
            </w:r>
            <w:r>
              <w:rPr>
                <w:rFonts w:hint="eastAsia" w:asciiTheme="minorEastAsia" w:hAnsiTheme="minorEastAsia" w:eastAsiaTheme="minorEastAsia" w:cstheme="minorEastAsia"/>
                <w:szCs w:val="21"/>
              </w:rPr>
              <w:t>财务部</w:t>
            </w:r>
            <w:r>
              <w:rPr>
                <w:rFonts w:hint="eastAsia" w:asciiTheme="minorEastAsia" w:hAnsiTheme="minorEastAsia" w:eastAsiaTheme="minorEastAsia" w:cstheme="minorEastAsia"/>
                <w:szCs w:val="21"/>
                <w:lang w:val="zh-CN"/>
              </w:rPr>
              <w:t>。</w:t>
            </w:r>
          </w:p>
          <w:p>
            <w:pPr>
              <w:spacing w:line="400" w:lineRule="exact"/>
              <w:ind w:firstLine="420" w:firstLineChars="200"/>
              <w:rPr>
                <w:rFonts w:ascii="宋体" w:hAnsi="宋体"/>
                <w:color w:val="FF0000"/>
                <w:szCs w:val="21"/>
              </w:rPr>
            </w:pPr>
            <w:r>
              <w:rPr>
                <w:rFonts w:hint="eastAsia" w:ascii="宋体" w:hAnsi="宋体"/>
                <w:szCs w:val="21"/>
              </w:rPr>
              <w:t>产品流程见《作业流程》</w:t>
            </w:r>
          </w:p>
          <w:p>
            <w:pPr>
              <w:spacing w:line="440" w:lineRule="exact"/>
              <w:rPr>
                <w:rFonts w:ascii="宋体" w:hAnsi="宋体"/>
                <w:kern w:val="44"/>
                <w:szCs w:val="21"/>
              </w:rPr>
            </w:pPr>
            <w:r>
              <w:rPr>
                <w:rFonts w:hint="eastAsia" w:ascii="宋体" w:hAnsi="宋体"/>
                <w:color w:val="000000"/>
                <w:szCs w:val="21"/>
              </w:rPr>
              <w:t>查，</w:t>
            </w:r>
            <w:r>
              <w:rPr>
                <w:rFonts w:hint="eastAsia" w:ascii="宋体" w:hAnsi="宋体"/>
                <w:szCs w:val="21"/>
              </w:rPr>
              <w:t>管理体系文件名称</w:t>
            </w:r>
            <w:r>
              <w:rPr>
                <w:rFonts w:hint="eastAsia" w:ascii="宋体" w:hAnsi="宋体"/>
                <w:color w:val="000000"/>
                <w:szCs w:val="21"/>
              </w:rPr>
              <w:t>：</w:t>
            </w:r>
            <w:r>
              <w:rPr>
                <w:rFonts w:hint="eastAsia" w:ascii="宋体" w:hAnsi="宋体"/>
                <w:kern w:val="44"/>
                <w:szCs w:val="21"/>
              </w:rPr>
              <w:t>管理手册，程序文件24个。</w:t>
            </w:r>
          </w:p>
        </w:tc>
        <w:tc>
          <w:tcPr>
            <w:tcW w:w="1025" w:type="dxa"/>
            <w:gridSpan w:val="2"/>
          </w:tcPr>
          <w:p>
            <w:pPr>
              <w:adjustRightInd w:val="0"/>
              <w:snapToGrid w:val="0"/>
              <w:rPr>
                <w:rFonts w:ascii="宋体" w:hAnsi="宋体" w:cs="宋体"/>
                <w:szCs w:val="21"/>
              </w:rPr>
            </w:pPr>
            <w:r>
              <w:rPr>
                <w:rFonts w:hint="eastAsia" w:ascii="宋体" w:hAnsi="宋体"/>
                <w:szCs w:val="21"/>
              </w:rPr>
              <w:t>Q/E/S:</w:t>
            </w:r>
            <w:r>
              <w:rPr>
                <w:rFonts w:hint="eastAsia" w:ascii="宋体" w:hAnsi="宋体" w:cs="宋体"/>
                <w:szCs w:val="21"/>
              </w:rPr>
              <w:t>4.1;4.2;4.3;4.4</w:t>
            </w:r>
          </w:p>
          <w:p>
            <w:pPr>
              <w:spacing w:line="440" w:lineRule="exact"/>
              <w:jc w:val="center"/>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tc>
        <w:tc>
          <w:tcPr>
            <w:tcW w:w="829" w:type="dxa"/>
          </w:tcPr>
          <w:p>
            <w:pPr>
              <w:spacing w:line="440" w:lineRule="exact"/>
              <w:jc w:val="center"/>
              <w:rPr>
                <w:rFonts w:ascii="宋体" w:hAnsi="宋体"/>
                <w:szCs w:val="21"/>
              </w:rPr>
            </w:pPr>
            <w:r>
              <w:rPr>
                <w:rFonts w:hint="eastAsia" w:ascii="宋体" w:hAnsi="宋体"/>
                <w:szCs w:val="21"/>
              </w:rPr>
              <w:t>符合</w:t>
            </w:r>
          </w:p>
          <w:p>
            <w:pPr>
              <w:spacing w:line="440" w:lineRule="exact"/>
              <w:rPr>
                <w:rFonts w:ascii="宋体" w:hAnsi="宋体"/>
                <w:szCs w:val="21"/>
              </w:rPr>
            </w:pPr>
          </w:p>
          <w:p>
            <w:pPr>
              <w:spacing w:line="440" w:lineRule="exact"/>
              <w:jc w:val="center"/>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868" w:hRule="atLeast"/>
        </w:trPr>
        <w:tc>
          <w:tcPr>
            <w:tcW w:w="3687" w:type="dxa"/>
          </w:tcPr>
          <w:p>
            <w:pPr>
              <w:spacing w:line="400" w:lineRule="exact"/>
              <w:rPr>
                <w:rFonts w:ascii="宋体" w:hAnsi="宋体"/>
                <w:szCs w:val="21"/>
              </w:rPr>
            </w:pPr>
            <w:r>
              <w:rPr>
                <w:rFonts w:hint="eastAsia" w:ascii="宋体" w:hAnsi="宋体"/>
                <w:szCs w:val="21"/>
              </w:rPr>
              <w:t>方针及目标、指标及方案</w:t>
            </w:r>
          </w:p>
          <w:p>
            <w:pPr>
              <w:spacing w:line="400" w:lineRule="exact"/>
              <w:rPr>
                <w:rFonts w:ascii="宋体" w:hAnsi="宋体"/>
                <w:szCs w:val="21"/>
              </w:rPr>
            </w:pPr>
          </w:p>
        </w:tc>
        <w:tc>
          <w:tcPr>
            <w:tcW w:w="9571" w:type="dxa"/>
            <w:gridSpan w:val="2"/>
          </w:tcPr>
          <w:p>
            <w:pPr>
              <w:spacing w:line="360" w:lineRule="auto"/>
              <w:jc w:val="center"/>
              <w:rPr>
                <w:rFonts w:ascii="宋体" w:hAnsi="宋体"/>
                <w:bCs/>
                <w:color w:val="000000" w:themeColor="text1"/>
                <w:szCs w:val="21"/>
              </w:rPr>
            </w:pPr>
            <w:r>
              <w:rPr>
                <w:rFonts w:hint="eastAsia" w:ascii="宋体" w:hAnsi="宋体"/>
                <w:bCs/>
                <w:color w:val="000000" w:themeColor="text1"/>
                <w:szCs w:val="21"/>
              </w:rPr>
              <w:t>质量/环境/职业健康安全方针：</w:t>
            </w:r>
          </w:p>
          <w:p>
            <w:pPr>
              <w:spacing w:line="360" w:lineRule="auto"/>
              <w:jc w:val="center"/>
              <w:rPr>
                <w:rFonts w:ascii="宋体" w:hAnsi="宋体"/>
                <w:bCs/>
                <w:color w:val="000000" w:themeColor="text1"/>
                <w:szCs w:val="21"/>
              </w:rPr>
            </w:pPr>
            <w:r>
              <w:rPr>
                <w:rFonts w:hint="eastAsia" w:ascii="宋体" w:hAnsi="宋体"/>
                <w:bCs/>
                <w:color w:val="000000" w:themeColor="text1"/>
                <w:szCs w:val="21"/>
              </w:rPr>
              <w:t>诚信为本、质量第一、</w:t>
            </w:r>
          </w:p>
          <w:p>
            <w:pPr>
              <w:spacing w:line="360" w:lineRule="auto"/>
              <w:jc w:val="center"/>
              <w:rPr>
                <w:rFonts w:ascii="宋体" w:hAnsi="宋体"/>
                <w:bCs/>
                <w:color w:val="000000" w:themeColor="text1"/>
                <w:szCs w:val="21"/>
              </w:rPr>
            </w:pPr>
            <w:r>
              <w:rPr>
                <w:rFonts w:hint="eastAsia" w:ascii="宋体" w:hAnsi="宋体"/>
                <w:bCs/>
                <w:color w:val="000000" w:themeColor="text1"/>
                <w:szCs w:val="21"/>
              </w:rPr>
              <w:t>信誉至上、争创一流</w:t>
            </w:r>
          </w:p>
          <w:p>
            <w:pPr>
              <w:spacing w:line="360" w:lineRule="auto"/>
              <w:jc w:val="center"/>
              <w:rPr>
                <w:rFonts w:ascii="宋体" w:hAnsi="宋体"/>
                <w:bCs/>
                <w:color w:val="000000" w:themeColor="text1"/>
                <w:szCs w:val="21"/>
              </w:rPr>
            </w:pPr>
            <w:r>
              <w:rPr>
                <w:rFonts w:hint="eastAsia" w:ascii="宋体" w:hAnsi="宋体"/>
                <w:bCs/>
                <w:color w:val="000000" w:themeColor="text1"/>
                <w:szCs w:val="21"/>
              </w:rPr>
              <w:t>珍惜环境、和谐发展</w:t>
            </w:r>
          </w:p>
          <w:p>
            <w:pPr>
              <w:spacing w:line="360" w:lineRule="auto"/>
              <w:jc w:val="center"/>
              <w:rPr>
                <w:rFonts w:ascii="宋体" w:hAnsi="宋体"/>
                <w:bCs/>
                <w:color w:val="000000" w:themeColor="text1"/>
                <w:szCs w:val="21"/>
              </w:rPr>
            </w:pPr>
            <w:r>
              <w:rPr>
                <w:rFonts w:hint="eastAsia" w:ascii="宋体" w:hAnsi="宋体"/>
                <w:bCs/>
                <w:color w:val="000000" w:themeColor="text1"/>
                <w:szCs w:val="21"/>
              </w:rPr>
              <w:t>节能降耗、安全第一</w:t>
            </w:r>
          </w:p>
          <w:p>
            <w:pPr>
              <w:spacing w:line="500" w:lineRule="exact"/>
              <w:rPr>
                <w:rFonts w:hint="eastAsia" w:ascii="宋体" w:hAnsi="宋体"/>
                <w:bCs/>
                <w:color w:val="000000" w:themeColor="text1"/>
                <w:szCs w:val="21"/>
              </w:rPr>
            </w:pPr>
            <w:r>
              <w:rPr>
                <w:rFonts w:hint="eastAsia" w:ascii="宋体" w:hAnsi="宋体"/>
                <w:bCs/>
                <w:color w:val="000000" w:themeColor="text1"/>
                <w:szCs w:val="21"/>
              </w:rPr>
              <w:t>质量/环境/职业健康安全目标:</w:t>
            </w:r>
          </w:p>
          <w:p>
            <w:pPr>
              <w:spacing w:line="500" w:lineRule="exact"/>
              <w:rPr>
                <w:rFonts w:hint="eastAsia" w:ascii="宋体" w:hAnsi="宋体"/>
                <w:bCs/>
                <w:color w:val="000000" w:themeColor="text1"/>
                <w:szCs w:val="21"/>
              </w:rPr>
            </w:pPr>
            <w:r>
              <w:rPr>
                <w:rFonts w:hint="eastAsia" w:ascii="宋体" w:hAnsi="宋体"/>
                <w:bCs/>
                <w:color w:val="000000" w:themeColor="text1"/>
                <w:szCs w:val="21"/>
              </w:rPr>
              <w:t>1、</w:t>
            </w:r>
            <w:r>
              <w:rPr>
                <w:rFonts w:hint="eastAsia" w:ascii="宋体" w:hAnsi="宋体"/>
                <w:bCs/>
                <w:color w:val="000000" w:themeColor="text1"/>
                <w:szCs w:val="21"/>
                <w:lang w:eastAsia="zh-CN"/>
              </w:rPr>
              <w:t>客户满意度≥90分</w:t>
            </w:r>
            <w:r>
              <w:rPr>
                <w:rFonts w:hint="eastAsia" w:ascii="宋体" w:hAnsi="宋体"/>
                <w:bCs/>
                <w:color w:val="000000" w:themeColor="text1"/>
                <w:szCs w:val="21"/>
              </w:rPr>
              <w:t xml:space="preserve">； </w:t>
            </w:r>
          </w:p>
          <w:p>
            <w:pPr>
              <w:spacing w:line="500" w:lineRule="exact"/>
              <w:rPr>
                <w:rFonts w:hint="eastAsia" w:ascii="宋体" w:hAnsi="宋体"/>
                <w:bCs/>
                <w:color w:val="000000" w:themeColor="text1"/>
                <w:szCs w:val="21"/>
              </w:rPr>
            </w:pPr>
            <w:r>
              <w:rPr>
                <w:rFonts w:hint="eastAsia" w:ascii="宋体" w:hAnsi="宋体"/>
                <w:bCs/>
                <w:color w:val="000000" w:themeColor="text1"/>
                <w:szCs w:val="21"/>
              </w:rPr>
              <w:t>2、</w:t>
            </w:r>
            <w:r>
              <w:rPr>
                <w:rFonts w:hint="eastAsia" w:ascii="宋体" w:hAnsi="宋体"/>
                <w:bCs/>
                <w:color w:val="000000" w:themeColor="text1"/>
                <w:szCs w:val="21"/>
                <w:lang w:val="en-US" w:eastAsia="zh-CN"/>
              </w:rPr>
              <w:t>工程项目验收合格率100%</w:t>
            </w:r>
            <w:r>
              <w:rPr>
                <w:rFonts w:hint="eastAsia" w:ascii="宋体" w:hAnsi="宋体"/>
                <w:bCs/>
                <w:color w:val="000000" w:themeColor="text1"/>
                <w:szCs w:val="21"/>
              </w:rPr>
              <w:t xml:space="preserve">； </w:t>
            </w:r>
          </w:p>
          <w:p>
            <w:pPr>
              <w:spacing w:line="500" w:lineRule="exact"/>
              <w:rPr>
                <w:rFonts w:hint="eastAsia" w:ascii="宋体" w:hAnsi="宋体"/>
                <w:bCs/>
                <w:color w:val="000000" w:themeColor="text1"/>
                <w:szCs w:val="21"/>
              </w:rPr>
            </w:pPr>
            <w:r>
              <w:rPr>
                <w:rFonts w:hint="eastAsia" w:ascii="宋体" w:hAnsi="宋体"/>
                <w:bCs/>
                <w:color w:val="000000" w:themeColor="text1"/>
                <w:szCs w:val="21"/>
              </w:rPr>
              <w:t>3、合同履约率100%</w:t>
            </w:r>
            <w:r>
              <w:rPr>
                <w:rFonts w:hint="eastAsia" w:ascii="宋体" w:hAnsi="宋体"/>
                <w:bCs/>
                <w:color w:val="000000" w:themeColor="text1"/>
                <w:szCs w:val="21"/>
                <w:lang w:eastAsia="zh-CN"/>
              </w:rPr>
              <w:t>；</w:t>
            </w:r>
            <w:r>
              <w:rPr>
                <w:rFonts w:hint="eastAsia" w:ascii="宋体" w:hAnsi="宋体"/>
                <w:bCs/>
                <w:color w:val="000000" w:themeColor="text1"/>
                <w:szCs w:val="21"/>
              </w:rPr>
              <w:t xml:space="preserve">  </w:t>
            </w:r>
          </w:p>
          <w:p>
            <w:pPr>
              <w:spacing w:line="500" w:lineRule="exact"/>
              <w:rPr>
                <w:rFonts w:hint="eastAsia" w:ascii="宋体" w:hAnsi="宋体"/>
                <w:bCs/>
                <w:color w:val="000000" w:themeColor="text1"/>
                <w:szCs w:val="21"/>
              </w:rPr>
            </w:pPr>
            <w:r>
              <w:rPr>
                <w:rFonts w:hint="eastAsia" w:ascii="宋体" w:hAnsi="宋体"/>
                <w:bCs/>
                <w:color w:val="000000" w:themeColor="text1"/>
                <w:szCs w:val="21"/>
                <w:lang w:val="en-US" w:eastAsia="zh-CN"/>
              </w:rPr>
              <w:t>4</w:t>
            </w:r>
            <w:r>
              <w:rPr>
                <w:rFonts w:hint="eastAsia" w:ascii="宋体" w:hAnsi="宋体"/>
                <w:bCs/>
                <w:color w:val="000000" w:themeColor="text1"/>
                <w:szCs w:val="21"/>
              </w:rPr>
              <w:t>、</w:t>
            </w:r>
            <w:r>
              <w:rPr>
                <w:rFonts w:hint="eastAsia" w:ascii="宋体" w:hAnsi="宋体"/>
                <w:bCs/>
                <w:color w:val="000000" w:themeColor="text1"/>
                <w:szCs w:val="21"/>
                <w:lang w:val="en-US" w:eastAsia="zh-CN"/>
              </w:rPr>
              <w:t>对固体废弃物合规处置率100%</w:t>
            </w:r>
            <w:r>
              <w:rPr>
                <w:rFonts w:hint="eastAsia" w:ascii="宋体" w:hAnsi="宋体"/>
                <w:bCs/>
                <w:color w:val="000000" w:themeColor="text1"/>
                <w:szCs w:val="21"/>
              </w:rPr>
              <w:t xml:space="preserve">；  </w:t>
            </w:r>
          </w:p>
          <w:p>
            <w:pPr>
              <w:spacing w:line="500" w:lineRule="exact"/>
              <w:rPr>
                <w:rFonts w:hint="eastAsia" w:ascii="宋体" w:hAnsi="宋体"/>
                <w:bCs/>
                <w:color w:val="000000" w:themeColor="text1"/>
                <w:szCs w:val="21"/>
              </w:rPr>
            </w:pPr>
            <w:r>
              <w:rPr>
                <w:rFonts w:hint="eastAsia" w:ascii="宋体" w:hAnsi="宋体"/>
                <w:bCs/>
                <w:color w:val="000000" w:themeColor="text1"/>
                <w:szCs w:val="21"/>
                <w:lang w:val="en-US" w:eastAsia="zh-CN"/>
              </w:rPr>
              <w:t>5</w:t>
            </w:r>
            <w:r>
              <w:rPr>
                <w:rFonts w:hint="eastAsia" w:ascii="宋体" w:hAnsi="宋体"/>
                <w:bCs/>
                <w:color w:val="000000" w:themeColor="text1"/>
                <w:szCs w:val="21"/>
              </w:rPr>
              <w:t>、</w:t>
            </w:r>
            <w:r>
              <w:rPr>
                <w:rFonts w:hint="eastAsia" w:ascii="宋体" w:hAnsi="宋体"/>
                <w:bCs/>
                <w:color w:val="000000" w:themeColor="text1"/>
                <w:szCs w:val="21"/>
                <w:lang w:eastAsia="zh-CN"/>
              </w:rPr>
              <w:t>火灾事故发生率为0</w:t>
            </w:r>
            <w:r>
              <w:rPr>
                <w:rFonts w:hint="eastAsia" w:ascii="宋体" w:hAnsi="宋体"/>
                <w:bCs/>
                <w:color w:val="000000" w:themeColor="text1"/>
                <w:szCs w:val="21"/>
              </w:rPr>
              <w:t xml:space="preserve">； </w:t>
            </w:r>
          </w:p>
          <w:p>
            <w:pPr>
              <w:spacing w:line="500" w:lineRule="exact"/>
              <w:rPr>
                <w:rFonts w:ascii="宋体" w:hAnsi="宋体"/>
                <w:bCs/>
                <w:color w:val="000000" w:themeColor="text1"/>
                <w:szCs w:val="21"/>
              </w:rPr>
            </w:pPr>
            <w:r>
              <w:rPr>
                <w:rFonts w:hint="eastAsia" w:ascii="宋体" w:hAnsi="宋体"/>
                <w:bCs/>
                <w:color w:val="000000" w:themeColor="text1"/>
                <w:szCs w:val="21"/>
                <w:lang w:val="en-US" w:eastAsia="zh-CN"/>
              </w:rPr>
              <w:t>6</w:t>
            </w:r>
            <w:r>
              <w:rPr>
                <w:rFonts w:hint="eastAsia" w:ascii="宋体" w:hAnsi="宋体"/>
                <w:bCs/>
                <w:color w:val="000000" w:themeColor="text1"/>
                <w:szCs w:val="21"/>
              </w:rPr>
              <w:t>、</w:t>
            </w:r>
            <w:r>
              <w:rPr>
                <w:rFonts w:hint="eastAsia" w:ascii="宋体" w:hAnsi="宋体"/>
                <w:bCs/>
                <w:color w:val="000000" w:themeColor="text1"/>
                <w:szCs w:val="21"/>
                <w:lang w:eastAsia="zh-CN"/>
              </w:rPr>
              <w:t>死亡事故发生率为0</w:t>
            </w:r>
            <w:r>
              <w:rPr>
                <w:rFonts w:hint="eastAsia" w:ascii="宋体" w:hAnsi="宋体"/>
                <w:bCs/>
                <w:color w:val="000000" w:themeColor="text1"/>
                <w:szCs w:val="21"/>
              </w:rPr>
              <w:t>。</w:t>
            </w:r>
          </w:p>
          <w:p>
            <w:pPr>
              <w:spacing w:line="360" w:lineRule="auto"/>
              <w:jc w:val="left"/>
              <w:rPr>
                <w:rFonts w:ascii="宋体" w:hAnsi="宋体"/>
                <w:szCs w:val="21"/>
              </w:rPr>
            </w:pPr>
            <w:r>
              <w:rPr>
                <w:rFonts w:hint="eastAsia" w:asciiTheme="minorEastAsia" w:hAnsiTheme="minorEastAsia" w:eastAsiaTheme="minorEastAsia" w:cstheme="minorEastAsia"/>
                <w:szCs w:val="21"/>
              </w:rPr>
              <w:t>拟定有管理方案和预案。</w:t>
            </w:r>
          </w:p>
        </w:tc>
        <w:tc>
          <w:tcPr>
            <w:tcW w:w="1025" w:type="dxa"/>
            <w:gridSpan w:val="2"/>
          </w:tcPr>
          <w:p>
            <w:pPr>
              <w:adjustRightInd w:val="0"/>
              <w:snapToGrid w:val="0"/>
              <w:rPr>
                <w:rFonts w:ascii="宋体" w:hAnsi="宋体" w:cs="宋体"/>
                <w:szCs w:val="21"/>
              </w:rPr>
            </w:pPr>
            <w:r>
              <w:rPr>
                <w:rFonts w:hint="eastAsia" w:ascii="宋体" w:hAnsi="宋体"/>
                <w:szCs w:val="21"/>
              </w:rPr>
              <w:t>Q/E/S:</w:t>
            </w:r>
            <w:r>
              <w:rPr>
                <w:rFonts w:hint="eastAsia" w:ascii="宋体" w:hAnsi="宋体" w:cs="宋体"/>
                <w:szCs w:val="21"/>
              </w:rPr>
              <w:t>5.1;6.2</w:t>
            </w:r>
          </w:p>
          <w:p>
            <w:pPr>
              <w:spacing w:line="440" w:lineRule="exact"/>
              <w:jc w:val="center"/>
              <w:rPr>
                <w:rFonts w:ascii="宋体" w:hAnsi="宋体"/>
                <w:szCs w:val="21"/>
              </w:rPr>
            </w:pPr>
          </w:p>
        </w:tc>
        <w:tc>
          <w:tcPr>
            <w:tcW w:w="829" w:type="dxa"/>
          </w:tcPr>
          <w:p>
            <w:pPr>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868" w:hRule="atLeast"/>
        </w:trPr>
        <w:tc>
          <w:tcPr>
            <w:tcW w:w="3687" w:type="dxa"/>
          </w:tcPr>
          <w:p>
            <w:pPr>
              <w:spacing w:line="400" w:lineRule="exact"/>
              <w:rPr>
                <w:rFonts w:ascii="宋体" w:hAnsi="宋体"/>
                <w:szCs w:val="21"/>
              </w:rPr>
            </w:pPr>
            <w:r>
              <w:rPr>
                <w:rFonts w:hint="eastAsia" w:ascii="宋体" w:hAnsi="宋体"/>
                <w:szCs w:val="21"/>
              </w:rPr>
              <w:t>内部审核：</w:t>
            </w:r>
          </w:p>
          <w:p>
            <w:pPr>
              <w:spacing w:line="400" w:lineRule="exact"/>
              <w:rPr>
                <w:rFonts w:ascii="宋体" w:hAnsi="宋体"/>
                <w:szCs w:val="21"/>
              </w:rPr>
            </w:pPr>
            <w:r>
              <w:rPr>
                <w:rFonts w:hint="eastAsia" w:ascii="宋体" w:hAnsi="宋体"/>
                <w:szCs w:val="21"/>
              </w:rPr>
              <w:t>时间</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审核组</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不符合及整改</w:t>
            </w:r>
          </w:p>
          <w:p>
            <w:pPr>
              <w:spacing w:line="400" w:lineRule="exact"/>
              <w:rPr>
                <w:rFonts w:ascii="宋体" w:hAnsi="宋体"/>
                <w:szCs w:val="21"/>
              </w:rPr>
            </w:pPr>
          </w:p>
        </w:tc>
        <w:tc>
          <w:tcPr>
            <w:tcW w:w="9571" w:type="dxa"/>
            <w:gridSpan w:val="2"/>
          </w:tcPr>
          <w:p>
            <w:pPr>
              <w:spacing w:line="400" w:lineRule="exact"/>
              <w:rPr>
                <w:rFonts w:ascii="宋体" w:hAnsi="宋体"/>
                <w:szCs w:val="21"/>
              </w:rPr>
            </w:pPr>
            <w:r>
              <w:rPr>
                <w:rFonts w:hint="eastAsia" w:ascii="宋体" w:hAnsi="宋体"/>
                <w:szCs w:val="21"/>
              </w:rPr>
              <w:t>建立有《内部审核程序》</w:t>
            </w:r>
          </w:p>
          <w:p>
            <w:pPr>
              <w:spacing w:line="400" w:lineRule="exact"/>
              <w:rPr>
                <w:rFonts w:ascii="宋体" w:hAnsi="宋体"/>
                <w:szCs w:val="21"/>
              </w:rPr>
            </w:pPr>
            <w:r>
              <w:rPr>
                <w:rFonts w:hint="eastAsia" w:ascii="宋体" w:hAnsi="宋体"/>
                <w:szCs w:val="21"/>
              </w:rPr>
              <w:t xml:space="preserve">见有《内部审核计划表》 </w:t>
            </w:r>
          </w:p>
          <w:p>
            <w:pPr>
              <w:spacing w:line="400" w:lineRule="exact"/>
              <w:rPr>
                <w:rFonts w:ascii="宋体" w:hAnsi="宋体"/>
                <w:szCs w:val="21"/>
              </w:rPr>
            </w:pPr>
            <w:r>
              <w:rPr>
                <w:rFonts w:hint="eastAsia" w:ascii="宋体" w:hAnsi="宋体"/>
                <w:szCs w:val="21"/>
              </w:rPr>
              <w:t>内审时间：</w:t>
            </w:r>
            <w:r>
              <w:rPr>
                <w:rFonts w:hint="eastAsia"/>
                <w:sz w:val="24"/>
              </w:rPr>
              <w:t xml:space="preserve"> </w:t>
            </w:r>
            <w:r>
              <w:rPr>
                <w:rFonts w:hint="eastAsia" w:ascii="宋体" w:hAnsi="宋体" w:cs="宋体"/>
              </w:rPr>
              <w:t>2020年11月15日</w:t>
            </w:r>
          </w:p>
          <w:p>
            <w:pPr>
              <w:spacing w:line="400" w:lineRule="exact"/>
              <w:rPr>
                <w:rFonts w:ascii="宋体" w:hAnsi="宋体"/>
                <w:szCs w:val="21"/>
              </w:rPr>
            </w:pPr>
            <w:r>
              <w:rPr>
                <w:rFonts w:hint="eastAsia" w:ascii="宋体" w:hAnsi="宋体"/>
                <w:szCs w:val="21"/>
              </w:rPr>
              <w:t>审核组：裴丽丽（ 组长）  陈丽萍（组员）。</w:t>
            </w:r>
          </w:p>
          <w:p>
            <w:pPr>
              <w:spacing w:line="400" w:lineRule="exact"/>
              <w:rPr>
                <w:rFonts w:ascii="宋体" w:hAnsi="宋体"/>
                <w:szCs w:val="21"/>
              </w:rPr>
            </w:pPr>
            <w:r>
              <w:rPr>
                <w:rFonts w:hint="eastAsia" w:ascii="宋体" w:hAnsi="宋体"/>
                <w:szCs w:val="21"/>
              </w:rPr>
              <w:t>见有：《内审不符合项报告》1份，涉及人事部QES7.3条款“询问</w:t>
            </w:r>
            <w:r>
              <w:rPr>
                <w:rFonts w:hint="eastAsia" w:ascii="宋体" w:hAnsi="宋体" w:cs="宋体"/>
                <w:color w:val="000000"/>
                <w:kern w:val="0"/>
                <w:szCs w:val="21"/>
              </w:rPr>
              <w:t>部门员工，对GB/T19001-2016标准、GB/T24001-2016标准、GB/T45001-2020标准，公司管理体系文件和环境安全管理制度不够熟悉</w:t>
            </w:r>
            <w:r>
              <w:rPr>
                <w:rFonts w:hint="eastAsia" w:ascii="宋体" w:hAnsi="宋体"/>
                <w:szCs w:val="21"/>
              </w:rPr>
              <w:t>”，针对该不符合项，已及时采取纠正措施，经内审员验证关闭。</w:t>
            </w:r>
          </w:p>
          <w:p>
            <w:pPr>
              <w:spacing w:line="400" w:lineRule="exact"/>
              <w:rPr>
                <w:rFonts w:ascii="宋体" w:hAnsi="宋体"/>
                <w:szCs w:val="21"/>
              </w:rPr>
            </w:pPr>
            <w:r>
              <w:rPr>
                <w:rFonts w:hint="eastAsia" w:ascii="宋体" w:hAnsi="宋体"/>
                <w:szCs w:val="21"/>
              </w:rPr>
              <w:t>有《内部审核报告》，有审核结论。</w:t>
            </w:r>
          </w:p>
        </w:tc>
        <w:tc>
          <w:tcPr>
            <w:tcW w:w="1025" w:type="dxa"/>
            <w:gridSpan w:val="2"/>
          </w:tcPr>
          <w:p>
            <w:pPr>
              <w:adjustRightInd w:val="0"/>
              <w:snapToGrid w:val="0"/>
              <w:rPr>
                <w:rFonts w:ascii="宋体" w:hAnsi="宋体" w:cs="宋体"/>
                <w:szCs w:val="21"/>
              </w:rPr>
            </w:pPr>
            <w:r>
              <w:rPr>
                <w:rFonts w:hint="eastAsia" w:ascii="宋体" w:hAnsi="宋体"/>
                <w:szCs w:val="21"/>
              </w:rPr>
              <w:t>Q/E/S:</w:t>
            </w:r>
            <w:r>
              <w:rPr>
                <w:rFonts w:hint="eastAsia" w:ascii="宋体" w:hAnsi="宋体" w:cs="宋体"/>
                <w:szCs w:val="21"/>
              </w:rPr>
              <w:t>9.2</w:t>
            </w:r>
          </w:p>
          <w:p>
            <w:pPr>
              <w:spacing w:line="440" w:lineRule="exact"/>
              <w:jc w:val="center"/>
              <w:rPr>
                <w:rFonts w:ascii="宋体" w:hAnsi="宋体"/>
                <w:szCs w:val="21"/>
              </w:rPr>
            </w:pPr>
          </w:p>
        </w:tc>
        <w:tc>
          <w:tcPr>
            <w:tcW w:w="829" w:type="dxa"/>
          </w:tcPr>
          <w:p>
            <w:pPr>
              <w:spacing w:line="400" w:lineRule="exact"/>
              <w:rPr>
                <w:rFonts w:ascii="宋体" w:hAnsi="宋体"/>
                <w:szCs w:val="21"/>
              </w:rPr>
            </w:pPr>
            <w:r>
              <w:rPr>
                <w:rFonts w:hint="eastAsia" w:ascii="宋体" w:hAnsi="宋体"/>
                <w:szCs w:val="21"/>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868" w:hRule="atLeast"/>
        </w:trPr>
        <w:tc>
          <w:tcPr>
            <w:tcW w:w="3687" w:type="dxa"/>
          </w:tcPr>
          <w:p>
            <w:pPr>
              <w:spacing w:line="400" w:lineRule="exact"/>
              <w:rPr>
                <w:rFonts w:ascii="宋体" w:hAnsi="宋体"/>
                <w:szCs w:val="21"/>
              </w:rPr>
            </w:pPr>
            <w:r>
              <w:rPr>
                <w:rFonts w:hint="eastAsia" w:ascii="宋体" w:hAnsi="宋体"/>
                <w:szCs w:val="21"/>
              </w:rPr>
              <w:t>管理评审：</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时间</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输入是否完整</w:t>
            </w:r>
          </w:p>
          <w:p>
            <w:pPr>
              <w:spacing w:line="400" w:lineRule="exact"/>
              <w:rPr>
                <w:rFonts w:ascii="宋体" w:hAnsi="宋体"/>
                <w:szCs w:val="21"/>
              </w:rPr>
            </w:pP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提出的改进内容</w:t>
            </w:r>
          </w:p>
          <w:p>
            <w:pPr>
              <w:spacing w:line="400" w:lineRule="exact"/>
              <w:rPr>
                <w:rFonts w:ascii="宋体" w:hAnsi="宋体"/>
                <w:szCs w:val="21"/>
              </w:rPr>
            </w:pPr>
          </w:p>
        </w:tc>
        <w:tc>
          <w:tcPr>
            <w:tcW w:w="9571" w:type="dxa"/>
            <w:gridSpan w:val="2"/>
          </w:tcPr>
          <w:p>
            <w:pPr>
              <w:spacing w:line="380" w:lineRule="exact"/>
              <w:rPr>
                <w:rFonts w:ascii="宋体" w:hAnsi="宋体"/>
                <w:szCs w:val="21"/>
              </w:rPr>
            </w:pPr>
            <w:r>
              <w:rPr>
                <w:rFonts w:hint="eastAsia" w:ascii="宋体" w:hAnsi="宋体"/>
                <w:szCs w:val="21"/>
              </w:rPr>
              <w:t>查见《管理评审计划》、《管理评审会议记录》</w:t>
            </w:r>
          </w:p>
          <w:p>
            <w:pPr>
              <w:spacing w:line="380" w:lineRule="exact"/>
              <w:rPr>
                <w:rFonts w:ascii="宋体" w:hAnsi="宋体"/>
                <w:szCs w:val="21"/>
              </w:rPr>
            </w:pPr>
          </w:p>
          <w:p>
            <w:pPr>
              <w:spacing w:line="360" w:lineRule="auto"/>
              <w:rPr>
                <w:rFonts w:ascii="宋体" w:hAnsi="宋体"/>
                <w:szCs w:val="21"/>
              </w:rPr>
            </w:pPr>
            <w:r>
              <w:rPr>
                <w:rFonts w:hint="eastAsia" w:ascii="宋体" w:hAnsi="宋体"/>
                <w:szCs w:val="21"/>
              </w:rPr>
              <w:t>管理评审于</w:t>
            </w:r>
            <w:r>
              <w:rPr>
                <w:rFonts w:hint="eastAsia" w:ascii="宋体" w:hAnsi="宋体" w:cs="宋体"/>
                <w:szCs w:val="21"/>
              </w:rPr>
              <w:t>2020年11月26日</w:t>
            </w:r>
            <w:r>
              <w:rPr>
                <w:rFonts w:hint="eastAsia" w:ascii="宋体" w:hAnsi="宋体"/>
                <w:szCs w:val="21"/>
              </w:rPr>
              <w:t>由总</w:t>
            </w:r>
            <w:r>
              <w:rPr>
                <w:rFonts w:hint="eastAsia" w:ascii="宋体" w:hAnsi="宋体"/>
                <w:kern w:val="0"/>
                <w:szCs w:val="21"/>
              </w:rPr>
              <w:t>经理</w:t>
            </w:r>
            <w:r>
              <w:rPr>
                <w:rFonts w:hint="eastAsia" w:ascii="宋体" w:hAnsi="宋体" w:cs="宋体"/>
                <w:szCs w:val="21"/>
              </w:rPr>
              <w:t>耿明臣</w:t>
            </w:r>
            <w:r>
              <w:rPr>
                <w:rFonts w:hint="eastAsia" w:ascii="宋体" w:hAnsi="宋体"/>
                <w:kern w:val="0"/>
                <w:szCs w:val="21"/>
              </w:rPr>
              <w:t>主持完</w:t>
            </w:r>
            <w:r>
              <w:rPr>
                <w:rFonts w:hint="eastAsia" w:ascii="宋体" w:hAnsi="宋体"/>
                <w:szCs w:val="21"/>
              </w:rPr>
              <w:t>成。</w:t>
            </w:r>
          </w:p>
          <w:p>
            <w:pPr>
              <w:adjustRightInd w:val="0"/>
              <w:spacing w:line="400" w:lineRule="exact"/>
              <w:textAlignment w:val="baseline"/>
              <w:rPr>
                <w:rFonts w:ascii="宋体" w:hAnsi="宋体"/>
                <w:kern w:val="0"/>
                <w:szCs w:val="21"/>
              </w:rPr>
            </w:pPr>
          </w:p>
          <w:p>
            <w:pPr>
              <w:adjustRightInd w:val="0"/>
              <w:spacing w:line="400" w:lineRule="exact"/>
              <w:textAlignment w:val="baseline"/>
              <w:rPr>
                <w:rFonts w:ascii="宋体" w:hAnsi="宋体"/>
                <w:kern w:val="0"/>
                <w:szCs w:val="21"/>
              </w:rPr>
            </w:pPr>
            <w:r>
              <w:rPr>
                <w:rFonts w:hint="eastAsia" w:ascii="宋体" w:hAnsi="宋体"/>
                <w:kern w:val="0"/>
                <w:szCs w:val="21"/>
              </w:rPr>
              <w:t>提供主要输入材料有：各部门总结，输入信息基本充分和满足要求。</w:t>
            </w:r>
          </w:p>
          <w:p>
            <w:pPr>
              <w:adjustRightInd w:val="0"/>
              <w:spacing w:line="400" w:lineRule="exact"/>
              <w:textAlignment w:val="baseline"/>
              <w:rPr>
                <w:rFonts w:ascii="宋体" w:hAnsi="宋体"/>
                <w:kern w:val="0"/>
                <w:szCs w:val="21"/>
              </w:rPr>
            </w:pPr>
            <w:r>
              <w:rPr>
                <w:rFonts w:hint="eastAsia" w:ascii="宋体" w:hAnsi="宋体"/>
                <w:kern w:val="0"/>
                <w:szCs w:val="21"/>
              </w:rPr>
              <w:t>输出见“管理评审报告”, 做出了管理体系基本适宜、充分和有效的评审结论。</w:t>
            </w:r>
          </w:p>
          <w:p>
            <w:pPr>
              <w:spacing w:line="460" w:lineRule="exact"/>
              <w:ind w:firstLine="420" w:firstLineChars="200"/>
              <w:rPr>
                <w:rFonts w:ascii="宋体" w:hAnsi="宋体"/>
                <w:kern w:val="0"/>
                <w:szCs w:val="21"/>
              </w:rPr>
            </w:pPr>
            <w:r>
              <w:rPr>
                <w:rFonts w:hint="eastAsia" w:ascii="宋体" w:hAnsi="宋体"/>
                <w:kern w:val="0"/>
                <w:szCs w:val="21"/>
              </w:rPr>
              <w:t>提出以下改进内容：</w:t>
            </w:r>
            <w:r>
              <w:rPr>
                <w:rFonts w:hint="eastAsia"/>
                <w:szCs w:val="21"/>
              </w:rPr>
              <w:t>各部门员工对GB/T19001-2016标准、GB/T24001-2016标准、GB/T45001-2020标准，公司管理体系文件和环境安全管理制度不够熟悉；建议对员工进行体系的加强培训，由人事部负责，2020年12月</w:t>
            </w:r>
            <w:r>
              <w:rPr>
                <w:rFonts w:hint="eastAsia"/>
                <w:szCs w:val="21"/>
                <w:lang w:eastAsia="zh-CN"/>
              </w:rPr>
              <w:t>前</w:t>
            </w:r>
            <w:r>
              <w:rPr>
                <w:rFonts w:hint="eastAsia"/>
                <w:szCs w:val="21"/>
              </w:rPr>
              <w:t>完成</w:t>
            </w:r>
            <w:r>
              <w:rPr>
                <w:rFonts w:hint="eastAsia" w:ascii="宋体" w:hAnsi="宋体"/>
                <w:kern w:val="0"/>
                <w:szCs w:val="21"/>
              </w:rPr>
              <w:t>。</w:t>
            </w:r>
          </w:p>
          <w:p>
            <w:pPr>
              <w:spacing w:line="460" w:lineRule="exact"/>
              <w:ind w:firstLine="420" w:firstLineChars="200"/>
              <w:rPr>
                <w:rFonts w:ascii="宋体" w:hAnsi="宋体"/>
                <w:kern w:val="0"/>
                <w:szCs w:val="21"/>
                <w:u w:val="single"/>
              </w:rPr>
            </w:pPr>
            <w:r>
              <w:rPr>
                <w:rFonts w:hint="eastAsia"/>
                <w:szCs w:val="21"/>
              </w:rPr>
              <w:t>由人事部负责，提供有2020年1</w:t>
            </w:r>
            <w:r>
              <w:rPr>
                <w:rFonts w:hint="eastAsia"/>
                <w:szCs w:val="21"/>
                <w:lang w:val="en-US" w:eastAsia="zh-CN"/>
              </w:rPr>
              <w:t>1</w:t>
            </w:r>
            <w:r>
              <w:rPr>
                <w:rFonts w:hint="eastAsia"/>
                <w:szCs w:val="21"/>
              </w:rPr>
              <w:t>月培训记录，有培训效果评价。</w:t>
            </w:r>
          </w:p>
        </w:tc>
        <w:tc>
          <w:tcPr>
            <w:tcW w:w="1025" w:type="dxa"/>
            <w:gridSpan w:val="2"/>
          </w:tcPr>
          <w:p>
            <w:pPr>
              <w:adjustRightInd w:val="0"/>
              <w:snapToGrid w:val="0"/>
              <w:rPr>
                <w:rFonts w:ascii="宋体" w:hAnsi="宋体" w:cs="宋体"/>
                <w:szCs w:val="21"/>
              </w:rPr>
            </w:pPr>
            <w:r>
              <w:rPr>
                <w:rFonts w:hint="eastAsia" w:ascii="宋体" w:hAnsi="宋体"/>
                <w:szCs w:val="21"/>
              </w:rPr>
              <w:t>Q/E/S:</w:t>
            </w:r>
            <w:r>
              <w:rPr>
                <w:rFonts w:hint="eastAsia" w:ascii="宋体" w:hAnsi="宋体" w:cs="宋体"/>
                <w:szCs w:val="21"/>
              </w:rPr>
              <w:t>9.3</w:t>
            </w:r>
          </w:p>
          <w:p>
            <w:pPr>
              <w:spacing w:line="440" w:lineRule="exact"/>
              <w:jc w:val="center"/>
              <w:rPr>
                <w:rFonts w:ascii="宋体" w:hAnsi="宋体"/>
                <w:szCs w:val="21"/>
              </w:rPr>
            </w:pPr>
          </w:p>
        </w:tc>
        <w:tc>
          <w:tcPr>
            <w:tcW w:w="829" w:type="dxa"/>
          </w:tcPr>
          <w:p>
            <w:pPr>
              <w:adjustRightInd w:val="0"/>
              <w:spacing w:line="400" w:lineRule="exact"/>
              <w:textAlignment w:val="baseline"/>
              <w:rPr>
                <w:rFonts w:ascii="宋体" w:hAnsi="宋体"/>
                <w:kern w:val="0"/>
                <w:szCs w:val="21"/>
              </w:rPr>
            </w:pPr>
            <w:r>
              <w:rPr>
                <w:rFonts w:hint="eastAsia" w:ascii="宋体" w:hAnsi="宋体"/>
                <w:kern w:val="0"/>
                <w:szCs w:val="21"/>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3701" w:type="dxa"/>
            <w:gridSpan w:val="2"/>
          </w:tcPr>
          <w:p>
            <w:pPr>
              <w:spacing w:line="400" w:lineRule="exact"/>
              <w:rPr>
                <w:rFonts w:ascii="宋体" w:hAnsi="宋体"/>
                <w:szCs w:val="21"/>
              </w:rPr>
            </w:pPr>
            <w:r>
              <w:rPr>
                <w:rFonts w:hint="eastAsia" w:ascii="宋体" w:hAnsi="宋体"/>
                <w:szCs w:val="21"/>
              </w:rPr>
              <w:t>相关法规</w:t>
            </w:r>
          </w:p>
          <w:p>
            <w:pPr>
              <w:spacing w:line="400" w:lineRule="exact"/>
              <w:rPr>
                <w:rFonts w:ascii="宋体" w:hAnsi="宋体"/>
                <w:szCs w:val="21"/>
              </w:rPr>
            </w:pP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环评报告及环评验收</w:t>
            </w:r>
          </w:p>
          <w:p>
            <w:pPr>
              <w:pStyle w:val="10"/>
              <w:rPr>
                <w:rFonts w:hint="default"/>
              </w:rPr>
            </w:pPr>
          </w:p>
          <w:p>
            <w:pPr>
              <w:spacing w:line="400" w:lineRule="exact"/>
              <w:rPr>
                <w:szCs w:val="21"/>
              </w:rPr>
            </w:pPr>
            <w:r>
              <w:rPr>
                <w:rFonts w:hint="eastAsia"/>
                <w:szCs w:val="21"/>
              </w:rPr>
              <w:t>安评报告及安评验收</w:t>
            </w:r>
          </w:p>
          <w:p>
            <w:pPr>
              <w:pStyle w:val="10"/>
              <w:rPr>
                <w:rFonts w:hint="default"/>
              </w:rPr>
            </w:pPr>
          </w:p>
          <w:p>
            <w:pPr>
              <w:spacing w:line="400" w:lineRule="exact"/>
              <w:rPr>
                <w:rFonts w:hint="eastAsia"/>
                <w:szCs w:val="21"/>
              </w:rPr>
            </w:pPr>
            <w:r>
              <w:rPr>
                <w:rFonts w:hint="eastAsia"/>
                <w:szCs w:val="21"/>
              </w:rPr>
              <w:t>执行的产品标准（QMS）</w:t>
            </w:r>
          </w:p>
          <w:p>
            <w:pPr>
              <w:pStyle w:val="2"/>
              <w:rPr>
                <w:rFonts w:hint="eastAsia"/>
                <w:szCs w:val="21"/>
              </w:rPr>
            </w:pPr>
          </w:p>
          <w:p>
            <w:pPr>
              <w:pStyle w:val="2"/>
              <w:rPr>
                <w:rFonts w:hint="eastAsia"/>
                <w:szCs w:val="21"/>
              </w:rPr>
            </w:pPr>
          </w:p>
          <w:p>
            <w:pPr>
              <w:pStyle w:val="3"/>
            </w:pPr>
          </w:p>
          <w:p>
            <w:pPr>
              <w:spacing w:line="400" w:lineRule="exact"/>
              <w:rPr>
                <w:szCs w:val="21"/>
              </w:rPr>
            </w:pPr>
            <w:r>
              <w:rPr>
                <w:rFonts w:hint="eastAsia"/>
                <w:szCs w:val="21"/>
              </w:rPr>
              <w:t>执行的排污标准（EMS）</w:t>
            </w:r>
          </w:p>
          <w:p>
            <w:pPr>
              <w:spacing w:line="400" w:lineRule="exact"/>
              <w:rPr>
                <w:szCs w:val="21"/>
              </w:rPr>
            </w:pPr>
          </w:p>
          <w:p>
            <w:pPr>
              <w:spacing w:line="400" w:lineRule="exact"/>
              <w:rPr>
                <w:szCs w:val="21"/>
              </w:rPr>
            </w:pPr>
            <w:r>
              <w:rPr>
                <w:rFonts w:hint="eastAsia"/>
                <w:szCs w:val="21"/>
              </w:rPr>
              <w:t>执行的安全法规（OHSMS）</w:t>
            </w:r>
          </w:p>
          <w:p>
            <w:pPr>
              <w:spacing w:line="400" w:lineRule="exact"/>
              <w:rPr>
                <w:szCs w:val="21"/>
              </w:rPr>
            </w:pPr>
          </w:p>
          <w:p>
            <w:pPr>
              <w:spacing w:line="400" w:lineRule="exact"/>
              <w:rPr>
                <w:szCs w:val="21"/>
              </w:rPr>
            </w:pPr>
            <w:r>
              <w:rPr>
                <w:rFonts w:hint="eastAsia"/>
                <w:szCs w:val="21"/>
              </w:rPr>
              <w:t xml:space="preserve">合规性评价报告 </w:t>
            </w:r>
          </w:p>
          <w:p>
            <w:pPr>
              <w:spacing w:line="400" w:lineRule="exact"/>
              <w:rPr>
                <w:szCs w:val="21"/>
              </w:rPr>
            </w:pPr>
          </w:p>
          <w:p>
            <w:pPr>
              <w:spacing w:line="400" w:lineRule="exact"/>
              <w:rPr>
                <w:szCs w:val="21"/>
              </w:rPr>
            </w:pPr>
            <w:r>
              <w:rPr>
                <w:rFonts w:hint="eastAsia"/>
                <w:szCs w:val="21"/>
              </w:rPr>
              <w:t>环境相关监测报告（EMS）</w:t>
            </w:r>
          </w:p>
          <w:p>
            <w:pPr>
              <w:pStyle w:val="10"/>
              <w:rPr>
                <w:rFonts w:hint="default"/>
              </w:rPr>
            </w:pPr>
          </w:p>
          <w:p>
            <w:pPr>
              <w:rPr>
                <w:szCs w:val="21"/>
              </w:rPr>
            </w:pPr>
            <w:r>
              <w:rPr>
                <w:rFonts w:hint="eastAsia"/>
                <w:szCs w:val="21"/>
              </w:rPr>
              <w:t>职业健康相关监测报告（OHSMS）</w:t>
            </w:r>
          </w:p>
          <w:p>
            <w:pPr>
              <w:pStyle w:val="10"/>
              <w:rPr>
                <w:rFonts w:hint="default"/>
              </w:rPr>
            </w:pPr>
          </w:p>
          <w:p>
            <w:pPr>
              <w:rPr>
                <w:rFonts w:ascii="宋体" w:hAnsi="宋体"/>
                <w:szCs w:val="21"/>
              </w:rPr>
            </w:pPr>
            <w:r>
              <w:rPr>
                <w:rFonts w:hint="eastAsia"/>
                <w:szCs w:val="21"/>
              </w:rPr>
              <w:t>产品质量监督抽查情况（QMS）</w:t>
            </w:r>
          </w:p>
        </w:tc>
        <w:tc>
          <w:tcPr>
            <w:tcW w:w="9579" w:type="dxa"/>
            <w:gridSpan w:val="2"/>
          </w:tcPr>
          <w:p>
            <w:pPr>
              <w:spacing w:line="400" w:lineRule="exact"/>
            </w:pPr>
            <w:r>
              <w:rPr>
                <w:rFonts w:hint="eastAsia"/>
              </w:rPr>
              <w:t>中华人民共和国合同法、中华人民共和国劳动法、中华人民共和国安全消防法、</w:t>
            </w:r>
            <w:r>
              <w:t>中华人民共和国产品质量法</w:t>
            </w:r>
            <w:r>
              <w:rPr>
                <w:rFonts w:hint="eastAsia"/>
              </w:rPr>
              <w:t>、中华人民共和国安全生产法等</w:t>
            </w:r>
          </w:p>
          <w:p>
            <w:pPr>
              <w:spacing w:line="400" w:lineRule="exact"/>
            </w:pPr>
          </w:p>
          <w:p>
            <w:pPr>
              <w:spacing w:line="400" w:lineRule="exact"/>
            </w:pPr>
            <w:r>
              <w:rPr>
                <w:rFonts w:hint="eastAsia"/>
              </w:rPr>
              <w:t>不适应</w:t>
            </w:r>
          </w:p>
          <w:p>
            <w:pPr>
              <w:widowControl/>
              <w:jc w:val="left"/>
            </w:pPr>
          </w:p>
          <w:p>
            <w:r>
              <w:rPr>
                <w:rFonts w:hint="eastAsia"/>
              </w:rPr>
              <w:t>不适应</w:t>
            </w:r>
          </w:p>
          <w:p/>
          <w:p>
            <w:pPr>
              <w:spacing w:line="400" w:lineRule="exact"/>
              <w:rPr>
                <w:rFonts w:hint="eastAsia"/>
              </w:rPr>
            </w:pPr>
            <w:r>
              <w:rPr>
                <w:rFonts w:hint="eastAsia"/>
                <w:lang w:val="en-US" w:eastAsia="zh-CN"/>
              </w:rPr>
              <w:t>CJJ83-2016《城乡建设用地竖向规划规范》、CJJ82-2012《城市园林绿化工程施工及验收规范》、CJJ75-97《城市道路绿化规划及设计规范》、GB50420-2007《城市绿地设计规范》委托方工程勘察报告、现状地形图、绿化工程施工方案</w:t>
            </w:r>
            <w:r>
              <w:rPr>
                <w:rFonts w:hint="eastAsia"/>
                <w:lang w:eastAsia="zh-CN"/>
              </w:rPr>
              <w:t>、</w:t>
            </w:r>
            <w:r>
              <w:rPr>
                <w:rFonts w:hint="eastAsia"/>
              </w:rPr>
              <w:t>施工图、合同协议等</w:t>
            </w:r>
          </w:p>
          <w:p/>
          <w:p>
            <w:r>
              <w:rPr>
                <w:rFonts w:hint="eastAsia"/>
              </w:rPr>
              <w:t>《污水排入城镇下水道水质标准》（GB/T31962-2015）表1中B级标准；</w:t>
            </w:r>
          </w:p>
          <w:p/>
          <w:p>
            <w:r>
              <w:rPr>
                <w:rFonts w:hint="eastAsia"/>
              </w:rPr>
              <w:t>中华人民共和国安全消防法、中华人民共和国合同法、中华人民共和国安全生产法、中华人民共和国建筑法等</w:t>
            </w:r>
          </w:p>
          <w:p>
            <w:pPr>
              <w:spacing w:line="400" w:lineRule="exact"/>
            </w:pPr>
          </w:p>
          <w:p/>
          <w:p>
            <w:r>
              <w:rPr>
                <w:rFonts w:hint="eastAsia"/>
              </w:rPr>
              <w:t>2021年4月30日进行了合规性评价</w:t>
            </w:r>
          </w:p>
          <w:p/>
          <w:p/>
          <w:p>
            <w:r>
              <w:rPr>
                <w:rFonts w:hint="eastAsia"/>
              </w:rPr>
              <w:t>不适应</w:t>
            </w:r>
          </w:p>
          <w:p/>
          <w:p>
            <w:r>
              <w:rPr>
                <w:rFonts w:hint="eastAsia"/>
              </w:rPr>
              <w:t>不适应</w:t>
            </w:r>
          </w:p>
          <w:p/>
          <w:p>
            <w:pPr>
              <w:pStyle w:val="10"/>
              <w:rPr>
                <w:rFonts w:hint="default"/>
              </w:rPr>
            </w:pPr>
            <w:r>
              <w:rPr>
                <w:rFonts w:ascii="Times New Roman" w:hAnsi="Times New Roman"/>
                <w:color w:val="auto"/>
                <w:kern w:val="2"/>
                <w:sz w:val="21"/>
              </w:rPr>
              <w:t>无质量抽查</w:t>
            </w:r>
          </w:p>
        </w:tc>
        <w:tc>
          <w:tcPr>
            <w:tcW w:w="1003" w:type="dxa"/>
          </w:tcPr>
          <w:p>
            <w:pPr>
              <w:adjustRightInd w:val="0"/>
              <w:snapToGrid w:val="0"/>
              <w:rPr>
                <w:rFonts w:ascii="宋体" w:hAnsi="宋体" w:cs="宋体"/>
                <w:szCs w:val="21"/>
              </w:rPr>
            </w:pPr>
            <w:r>
              <w:rPr>
                <w:rFonts w:hint="eastAsia" w:ascii="宋体" w:hAnsi="宋体"/>
                <w:szCs w:val="21"/>
              </w:rPr>
              <w:t>Q/E/S:6.1.3、9.1.2</w:t>
            </w:r>
          </w:p>
          <w:p>
            <w:pPr>
              <w:spacing w:line="440" w:lineRule="exact"/>
              <w:jc w:val="center"/>
              <w:rPr>
                <w:rFonts w:ascii="宋体" w:hAnsi="宋体"/>
                <w:szCs w:val="21"/>
              </w:rPr>
            </w:pPr>
          </w:p>
        </w:tc>
        <w:tc>
          <w:tcPr>
            <w:tcW w:w="851" w:type="dxa"/>
            <w:gridSpan w:val="2"/>
          </w:tcPr>
          <w:p>
            <w:pPr>
              <w:spacing w:line="400" w:lineRule="exact"/>
              <w:rPr>
                <w:rFonts w:ascii="宋体" w:hAnsi="宋体"/>
                <w:szCs w:val="21"/>
              </w:rPr>
            </w:pPr>
            <w:r>
              <w:rPr>
                <w:rFonts w:hint="eastAsia" w:ascii="宋体" w:hAnsi="宋体"/>
                <w:szCs w:val="21"/>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701" w:type="dxa"/>
            <w:gridSpan w:val="2"/>
          </w:tcPr>
          <w:p>
            <w:pPr>
              <w:spacing w:line="400" w:lineRule="exact"/>
              <w:rPr>
                <w:rFonts w:ascii="宋体" w:hAnsi="宋体"/>
                <w:szCs w:val="21"/>
              </w:rPr>
            </w:pPr>
            <w:r>
              <w:rPr>
                <w:rFonts w:hint="eastAsia" w:ascii="宋体" w:hAnsi="宋体"/>
                <w:szCs w:val="21"/>
              </w:rPr>
              <w:t>工艺流程</w:t>
            </w:r>
          </w:p>
          <w:p>
            <w:pPr>
              <w:spacing w:line="400" w:lineRule="exact"/>
              <w:rPr>
                <w:rFonts w:ascii="宋体" w:hAnsi="宋体"/>
                <w:szCs w:val="21"/>
              </w:rPr>
            </w:pPr>
          </w:p>
          <w:p>
            <w:pPr>
              <w:spacing w:line="400" w:lineRule="exact"/>
              <w:rPr>
                <w:rFonts w:ascii="宋体" w:hAnsi="宋体"/>
                <w:szCs w:val="21"/>
              </w:rPr>
            </w:pPr>
          </w:p>
          <w:p>
            <w:pPr>
              <w:pStyle w:val="3"/>
              <w:rPr>
                <w:rFonts w:hAnsi="宋体"/>
                <w:szCs w:val="21"/>
              </w:rPr>
            </w:pPr>
          </w:p>
          <w:p>
            <w:pPr>
              <w:pStyle w:val="3"/>
              <w:rPr>
                <w:rFonts w:hAnsi="宋体"/>
                <w:szCs w:val="21"/>
              </w:rPr>
            </w:pPr>
          </w:p>
          <w:p>
            <w:pPr>
              <w:pStyle w:val="3"/>
              <w:rPr>
                <w:rFonts w:hAnsi="宋体"/>
                <w:szCs w:val="21"/>
              </w:rPr>
            </w:pPr>
          </w:p>
          <w:p>
            <w:pPr>
              <w:spacing w:line="400" w:lineRule="exact"/>
              <w:rPr>
                <w:rFonts w:ascii="宋体" w:hAnsi="宋体"/>
                <w:szCs w:val="21"/>
              </w:rPr>
            </w:pPr>
            <w:r>
              <w:rPr>
                <w:rFonts w:hint="eastAsia" w:ascii="宋体" w:hAnsi="宋体"/>
                <w:szCs w:val="21"/>
              </w:rPr>
              <w:t>不适用条款的确认</w:t>
            </w:r>
          </w:p>
          <w:p>
            <w:pPr>
              <w:spacing w:line="400" w:lineRule="exact"/>
              <w:rPr>
                <w:rFonts w:ascii="宋体" w:hAnsi="宋体"/>
                <w:szCs w:val="21"/>
              </w:rPr>
            </w:pPr>
            <w:r>
              <w:rPr>
                <w:rFonts w:hint="eastAsia" w:ascii="宋体" w:hAnsi="宋体"/>
                <w:szCs w:val="21"/>
              </w:rPr>
              <w:t>外包的识别</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重要环境因素（EMS）</w:t>
            </w:r>
          </w:p>
          <w:p>
            <w:pPr>
              <w:spacing w:line="400" w:lineRule="exact"/>
              <w:rPr>
                <w:szCs w:val="21"/>
              </w:rPr>
            </w:pPr>
            <w:r>
              <w:rPr>
                <w:rFonts w:hint="eastAsia"/>
                <w:szCs w:val="21"/>
              </w:rPr>
              <w:t>不可接受风险（OHSMS）</w:t>
            </w:r>
          </w:p>
          <w:p>
            <w:pPr>
              <w:spacing w:line="400" w:lineRule="exact"/>
              <w:rPr>
                <w:szCs w:val="21"/>
              </w:rPr>
            </w:pPr>
            <w:r>
              <w:rPr>
                <w:rFonts w:hint="eastAsia"/>
                <w:szCs w:val="21"/>
              </w:rPr>
              <w:t>应急管理</w:t>
            </w:r>
          </w:p>
        </w:tc>
        <w:tc>
          <w:tcPr>
            <w:tcW w:w="9579" w:type="dxa"/>
            <w:gridSpan w:val="2"/>
          </w:tcPr>
          <w:p>
            <w:pPr>
              <w:tabs>
                <w:tab w:val="left" w:pos="1080"/>
              </w:tabs>
              <w:spacing w:line="400" w:lineRule="exact"/>
              <w:rPr>
                <w:rFonts w:ascii="宋体" w:hAnsi="宋体"/>
                <w:bCs/>
                <w:szCs w:val="21"/>
              </w:rPr>
            </w:pPr>
            <w:r>
              <w:rPr>
                <w:rFonts w:hint="eastAsia" w:ascii="宋体" w:hAnsi="宋体"/>
                <w:bCs/>
                <w:szCs w:val="21"/>
              </w:rPr>
              <w:t>园林绿化景观工程服务流程：</w:t>
            </w:r>
          </w:p>
          <w:p>
            <w:pPr>
              <w:tabs>
                <w:tab w:val="left" w:pos="1080"/>
              </w:tabs>
              <w:spacing w:line="400" w:lineRule="exact"/>
              <w:rPr>
                <w:rFonts w:ascii="宋体" w:hAnsi="宋体"/>
                <w:bCs/>
                <w:szCs w:val="21"/>
              </w:rPr>
            </w:pPr>
            <w:r>
              <w:rPr>
                <w:rFonts w:hint="eastAsia" w:ascii="宋体" w:hAnsi="宋体"/>
                <w:bCs/>
                <w:szCs w:val="21"/>
              </w:rPr>
              <w:t>合同签订—施工方案拟定—清理平整场地—放线定点—苗木种植—竣工验收--后续维护</w:t>
            </w:r>
          </w:p>
          <w:p>
            <w:pPr>
              <w:tabs>
                <w:tab w:val="left" w:pos="1080"/>
              </w:tabs>
              <w:spacing w:line="400" w:lineRule="exact"/>
              <w:rPr>
                <w:rFonts w:ascii="宋体" w:hAnsi="宋体"/>
                <w:bCs/>
                <w:szCs w:val="21"/>
              </w:rPr>
            </w:pPr>
            <w:r>
              <w:rPr>
                <w:rFonts w:hint="eastAsia" w:ascii="宋体" w:hAnsi="宋体"/>
                <w:bCs/>
                <w:szCs w:val="21"/>
              </w:rPr>
              <w:t>关键/确认过程：服务过程。</w:t>
            </w:r>
          </w:p>
          <w:p>
            <w:pPr>
              <w:pStyle w:val="10"/>
              <w:rPr>
                <w:rFonts w:hint="default"/>
              </w:rPr>
            </w:pPr>
          </w:p>
          <w:p>
            <w:pPr>
              <w:spacing w:line="440" w:lineRule="exact"/>
              <w:rPr>
                <w:rFonts w:ascii="宋体" w:hAnsi="宋体" w:cs="Lucida Sans"/>
                <w:szCs w:val="21"/>
              </w:rPr>
            </w:pPr>
            <w:r>
              <w:rPr>
                <w:rFonts w:hint="eastAsia" w:ascii="宋体" w:hAnsi="宋体"/>
                <w:szCs w:val="21"/>
              </w:rPr>
              <w:t>Q8.3条款不适用理由：</w:t>
            </w:r>
            <w:r>
              <w:rPr>
                <w:rFonts w:hint="eastAsia" w:ascii="宋体" w:hAnsi="宋体" w:cs="Lucida Sans"/>
                <w:szCs w:val="21"/>
              </w:rPr>
              <w:t>公司所承接的园林绿化景观工程均按业主提供的设计及国家行业相关标准进行实施，并按照行业标准及顾客要求进行服务，服务流程及模式固定成熟，不需要承担设计和开发责任，因此标准8.3条款不适用，该条款不适用不影响组织提供满足客户</w:t>
            </w:r>
            <w:bookmarkStart w:id="4" w:name="_GoBack"/>
            <w:bookmarkEnd w:id="4"/>
            <w:r>
              <w:rPr>
                <w:rFonts w:hint="eastAsia" w:ascii="宋体" w:hAnsi="宋体" w:cs="Lucida Sans"/>
                <w:szCs w:val="21"/>
              </w:rPr>
              <w:t>要求及法律法规要求的服务及责任。</w:t>
            </w:r>
          </w:p>
          <w:p>
            <w:pPr>
              <w:tabs>
                <w:tab w:val="left" w:pos="1080"/>
              </w:tabs>
              <w:spacing w:line="400" w:lineRule="exact"/>
              <w:rPr>
                <w:rFonts w:ascii="宋体" w:hAnsi="宋体"/>
                <w:szCs w:val="21"/>
              </w:rPr>
            </w:pPr>
            <w:r>
              <w:rPr>
                <w:rFonts w:hint="eastAsia" w:ascii="宋体" w:hAnsi="宋体"/>
                <w:szCs w:val="21"/>
              </w:rPr>
              <w:t>无</w:t>
            </w:r>
          </w:p>
          <w:p>
            <w:pPr>
              <w:tabs>
                <w:tab w:val="left" w:pos="1080"/>
              </w:tabs>
              <w:spacing w:line="400" w:lineRule="exact"/>
              <w:rPr>
                <w:rFonts w:ascii="宋体" w:hAnsi="宋体"/>
                <w:szCs w:val="21"/>
              </w:rPr>
            </w:pPr>
          </w:p>
          <w:p>
            <w:pPr>
              <w:snapToGrid w:val="0"/>
              <w:spacing w:line="280" w:lineRule="exact"/>
              <w:rPr>
                <w:rFonts w:ascii="宋体" w:hAnsi="宋体"/>
                <w:szCs w:val="21"/>
              </w:rPr>
            </w:pPr>
            <w:r>
              <w:rPr>
                <w:rFonts w:hint="eastAsia" w:ascii="宋体" w:hAnsi="宋体"/>
                <w:szCs w:val="21"/>
              </w:rPr>
              <w:t>1）潜在火灾；2）固废的排放；3）农药泄漏；4）噪声。</w:t>
            </w:r>
          </w:p>
          <w:p>
            <w:pPr>
              <w:snapToGrid w:val="0"/>
              <w:spacing w:line="280" w:lineRule="exact"/>
              <w:rPr>
                <w:rFonts w:ascii="宋体" w:hAnsi="宋体"/>
                <w:szCs w:val="21"/>
              </w:rPr>
            </w:pPr>
            <w:r>
              <w:rPr>
                <w:rFonts w:hint="eastAsia" w:ascii="宋体" w:hAnsi="宋体"/>
                <w:szCs w:val="21"/>
              </w:rPr>
              <w:t>1）火灾2）意外伤害（机械伤害、物体打击、触电、中毒、中暑）</w:t>
            </w:r>
          </w:p>
          <w:p>
            <w:pPr>
              <w:tabs>
                <w:tab w:val="left" w:pos="1080"/>
              </w:tabs>
              <w:spacing w:line="400" w:lineRule="exact"/>
              <w:rPr>
                <w:rFonts w:ascii="宋体" w:hAnsi="宋体"/>
                <w:szCs w:val="21"/>
              </w:rPr>
            </w:pPr>
            <w:r>
              <w:rPr>
                <w:rFonts w:hint="eastAsia" w:ascii="宋体" w:hAnsi="宋体"/>
                <w:szCs w:val="21"/>
              </w:rPr>
              <w:t>公司拟定有《火灾事故应急预案》《触电应急预案》，2021年5年15日进行了火灾应急演练。</w:t>
            </w:r>
          </w:p>
        </w:tc>
        <w:tc>
          <w:tcPr>
            <w:tcW w:w="1003" w:type="dxa"/>
          </w:tcPr>
          <w:p>
            <w:pPr>
              <w:adjustRightInd w:val="0"/>
              <w:snapToGrid w:val="0"/>
              <w:rPr>
                <w:rFonts w:ascii="宋体" w:hAnsi="宋体"/>
                <w:szCs w:val="21"/>
              </w:rPr>
            </w:pPr>
            <w:r>
              <w:rPr>
                <w:rFonts w:hint="eastAsia" w:ascii="宋体" w:hAnsi="宋体"/>
                <w:szCs w:val="21"/>
              </w:rPr>
              <w:t>Q/E/S:8.1、8.2;</w:t>
            </w:r>
          </w:p>
          <w:p>
            <w:pPr>
              <w:adjustRightInd w:val="0"/>
              <w:snapToGrid w:val="0"/>
              <w:rPr>
                <w:rFonts w:ascii="宋体" w:hAnsi="宋体"/>
                <w:szCs w:val="21"/>
              </w:rPr>
            </w:pPr>
            <w:r>
              <w:rPr>
                <w:rFonts w:hint="eastAsia" w:ascii="宋体" w:hAnsi="宋体"/>
                <w:szCs w:val="21"/>
              </w:rPr>
              <w:t>E/S;6.1.2;</w:t>
            </w:r>
          </w:p>
          <w:p>
            <w:pPr>
              <w:adjustRightInd w:val="0"/>
              <w:snapToGrid w:val="0"/>
              <w:rPr>
                <w:rFonts w:ascii="宋体" w:hAnsi="宋体"/>
                <w:szCs w:val="21"/>
              </w:rPr>
            </w:pPr>
            <w:r>
              <w:rPr>
                <w:rFonts w:hint="eastAsia" w:ascii="宋体" w:hAnsi="宋体"/>
                <w:szCs w:val="21"/>
              </w:rPr>
              <w:t>Q8.3</w:t>
            </w:r>
          </w:p>
        </w:tc>
        <w:tc>
          <w:tcPr>
            <w:tcW w:w="851" w:type="dxa"/>
            <w:gridSpan w:val="2"/>
          </w:tcPr>
          <w:p>
            <w:pPr>
              <w:tabs>
                <w:tab w:val="left" w:pos="1080"/>
              </w:tabs>
              <w:spacing w:line="400" w:lineRule="exact"/>
              <w:rPr>
                <w:rFonts w:ascii="宋体" w:hAnsi="宋体"/>
                <w:szCs w:val="21"/>
              </w:rPr>
            </w:pPr>
            <w:r>
              <w:rPr>
                <w:rFonts w:hint="eastAsia" w:ascii="宋体" w:hAnsi="宋体"/>
                <w:szCs w:val="21"/>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3701" w:type="dxa"/>
            <w:gridSpan w:val="2"/>
          </w:tcPr>
          <w:p>
            <w:pPr>
              <w:spacing w:line="400" w:lineRule="exact"/>
              <w:rPr>
                <w:rFonts w:ascii="宋体" w:hAnsi="宋体"/>
                <w:szCs w:val="21"/>
              </w:rPr>
            </w:pPr>
            <w:r>
              <w:rPr>
                <w:rFonts w:hint="eastAsia" w:ascii="宋体" w:hAnsi="宋体"/>
                <w:szCs w:val="21"/>
              </w:rPr>
              <w:t>设计开发产品或项目名称</w:t>
            </w:r>
          </w:p>
          <w:p>
            <w:pPr>
              <w:spacing w:line="400" w:lineRule="exact"/>
              <w:rPr>
                <w:rFonts w:ascii="宋体" w:hAnsi="宋体"/>
                <w:szCs w:val="21"/>
              </w:rPr>
            </w:pPr>
            <w:r>
              <w:rPr>
                <w:rFonts w:hint="eastAsia" w:ascii="宋体" w:hAnsi="宋体"/>
                <w:szCs w:val="21"/>
              </w:rPr>
              <w:t>主要原材料</w:t>
            </w:r>
          </w:p>
        </w:tc>
        <w:tc>
          <w:tcPr>
            <w:tcW w:w="9579" w:type="dxa"/>
            <w:gridSpan w:val="2"/>
          </w:tcPr>
          <w:p>
            <w:pPr>
              <w:spacing w:line="400" w:lineRule="exact"/>
              <w:rPr>
                <w:color w:val="000000"/>
              </w:rPr>
            </w:pPr>
            <w:r>
              <w:rPr>
                <w:rFonts w:hint="eastAsia"/>
                <w:color w:val="000000"/>
              </w:rPr>
              <w:t>无</w:t>
            </w:r>
          </w:p>
          <w:p>
            <w:pPr>
              <w:spacing w:line="400" w:lineRule="exact"/>
            </w:pPr>
            <w:r>
              <w:rPr>
                <w:rFonts w:hint="eastAsia" w:ascii="宋体" w:hAnsi="宋体"/>
                <w:szCs w:val="21"/>
              </w:rPr>
              <w:t>原材料主要为各类苗木为主材、防水卷材、电缆、铜管等辅材等。</w:t>
            </w:r>
          </w:p>
        </w:tc>
        <w:tc>
          <w:tcPr>
            <w:tcW w:w="1003" w:type="dxa"/>
          </w:tcPr>
          <w:p>
            <w:pPr>
              <w:spacing w:line="440" w:lineRule="exact"/>
              <w:jc w:val="left"/>
              <w:rPr>
                <w:rFonts w:ascii="宋体" w:hAnsi="宋体"/>
                <w:szCs w:val="21"/>
              </w:rPr>
            </w:pPr>
            <w:r>
              <w:rPr>
                <w:rFonts w:hint="eastAsia" w:ascii="宋体" w:hAnsi="宋体"/>
                <w:szCs w:val="21"/>
              </w:rPr>
              <w:t>Q8.3</w:t>
            </w:r>
          </w:p>
        </w:tc>
        <w:tc>
          <w:tcPr>
            <w:tcW w:w="851" w:type="dxa"/>
            <w:gridSpan w:val="2"/>
          </w:tcPr>
          <w:p>
            <w:pPr>
              <w:spacing w:line="440" w:lineRule="exact"/>
              <w:jc w:val="center"/>
              <w:rPr>
                <w:rFonts w:ascii="宋体" w:hAnsi="宋体"/>
                <w:szCs w:val="21"/>
              </w:rPr>
            </w:pPr>
            <w:r>
              <w:rPr>
                <w:rFonts w:hint="eastAsia" w:ascii="宋体" w:hAnsi="宋体"/>
                <w:szCs w:val="21"/>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3701" w:type="dxa"/>
            <w:gridSpan w:val="2"/>
          </w:tcPr>
          <w:p>
            <w:pPr>
              <w:spacing w:line="400" w:lineRule="exact"/>
              <w:rPr>
                <w:rFonts w:ascii="宋体" w:hAnsi="宋体"/>
                <w:szCs w:val="21"/>
                <w:u w:val="single"/>
              </w:rPr>
            </w:pPr>
            <w:r>
              <w:rPr>
                <w:rFonts w:hint="eastAsia" w:ascii="宋体" w:hAnsi="宋体"/>
                <w:szCs w:val="21"/>
                <w:u w:val="single"/>
              </w:rPr>
              <w:t>员工人数</w:t>
            </w:r>
          </w:p>
          <w:p>
            <w:pPr>
              <w:spacing w:line="400" w:lineRule="exact"/>
              <w:rPr>
                <w:rFonts w:ascii="宋体" w:hAnsi="宋体"/>
                <w:szCs w:val="21"/>
              </w:rPr>
            </w:pPr>
            <w:r>
              <w:rPr>
                <w:rFonts w:hint="eastAsia" w:ascii="宋体" w:hAnsi="宋体"/>
                <w:szCs w:val="21"/>
              </w:rPr>
              <w:t>关键岗位持证上岗人员</w:t>
            </w:r>
          </w:p>
          <w:p>
            <w:pPr>
              <w:spacing w:line="400" w:lineRule="exact"/>
              <w:rPr>
                <w:rFonts w:ascii="宋体" w:hAnsi="宋体"/>
                <w:szCs w:val="21"/>
              </w:rPr>
            </w:pPr>
            <w:r>
              <w:rPr>
                <w:rFonts w:hint="eastAsia" w:ascii="宋体" w:hAnsi="宋体"/>
                <w:szCs w:val="21"/>
              </w:rPr>
              <w:t>特殊工种人员</w:t>
            </w:r>
          </w:p>
        </w:tc>
        <w:tc>
          <w:tcPr>
            <w:tcW w:w="9579" w:type="dxa"/>
            <w:gridSpan w:val="2"/>
          </w:tcPr>
          <w:p>
            <w:pPr>
              <w:spacing w:line="400" w:lineRule="exact"/>
              <w:rPr>
                <w:szCs w:val="21"/>
              </w:rPr>
            </w:pPr>
            <w:r>
              <w:rPr>
                <w:rFonts w:hint="eastAsia"/>
                <w:szCs w:val="21"/>
              </w:rPr>
              <w:t>现场核实人数13人，与任务书一致。</w:t>
            </w:r>
          </w:p>
          <w:p>
            <w:pPr>
              <w:spacing w:line="400" w:lineRule="exact"/>
              <w:rPr>
                <w:szCs w:val="21"/>
              </w:rPr>
            </w:pPr>
            <w:r>
              <w:rPr>
                <w:rFonts w:hint="eastAsia"/>
                <w:szCs w:val="21"/>
              </w:rPr>
              <w:t>绿化工程师（见附件）。</w:t>
            </w:r>
          </w:p>
          <w:p>
            <w:pPr>
              <w:spacing w:line="400" w:lineRule="exact"/>
              <w:rPr>
                <w:rFonts w:ascii="宋体" w:hAnsi="宋体"/>
                <w:szCs w:val="21"/>
              </w:rPr>
            </w:pPr>
            <w:r>
              <w:rPr>
                <w:rFonts w:hint="eastAsia" w:ascii="宋体" w:hAnsi="宋体"/>
                <w:szCs w:val="21"/>
              </w:rPr>
              <w:t>无。</w:t>
            </w:r>
          </w:p>
        </w:tc>
        <w:tc>
          <w:tcPr>
            <w:tcW w:w="1003" w:type="dxa"/>
          </w:tcPr>
          <w:p>
            <w:pPr>
              <w:spacing w:line="440" w:lineRule="exact"/>
              <w:jc w:val="left"/>
              <w:rPr>
                <w:rFonts w:ascii="宋体" w:hAnsi="宋体"/>
                <w:szCs w:val="21"/>
              </w:rPr>
            </w:pPr>
            <w:r>
              <w:rPr>
                <w:rFonts w:hint="eastAsia" w:ascii="宋体" w:hAnsi="宋体"/>
                <w:szCs w:val="21"/>
              </w:rPr>
              <w:t>Q/E/S:7.2</w:t>
            </w:r>
          </w:p>
        </w:tc>
        <w:tc>
          <w:tcPr>
            <w:tcW w:w="851" w:type="dxa"/>
            <w:gridSpan w:val="2"/>
          </w:tcPr>
          <w:p>
            <w:pPr>
              <w:spacing w:line="440" w:lineRule="exact"/>
              <w:jc w:val="center"/>
              <w:rPr>
                <w:rFonts w:ascii="宋体" w:hAnsi="宋体"/>
                <w:szCs w:val="21"/>
              </w:rPr>
            </w:pPr>
            <w:r>
              <w:rPr>
                <w:rFonts w:hint="eastAsia" w:ascii="宋体" w:hAnsi="宋体"/>
                <w:szCs w:val="21"/>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1" w:hRule="atLeast"/>
        </w:trPr>
        <w:tc>
          <w:tcPr>
            <w:tcW w:w="3701" w:type="dxa"/>
            <w:gridSpan w:val="2"/>
          </w:tcPr>
          <w:p>
            <w:pPr>
              <w:spacing w:line="400" w:lineRule="exact"/>
              <w:rPr>
                <w:rFonts w:ascii="宋体" w:hAnsi="宋体"/>
                <w:szCs w:val="21"/>
              </w:rPr>
            </w:pPr>
            <w:r>
              <w:rPr>
                <w:rFonts w:hint="eastAsia" w:ascii="宋体" w:hAnsi="宋体"/>
                <w:szCs w:val="21"/>
              </w:rPr>
              <w:t>主要生产设备</w:t>
            </w:r>
          </w:p>
          <w:p>
            <w:pPr>
              <w:spacing w:line="400" w:lineRule="exact"/>
              <w:rPr>
                <w:rFonts w:ascii="宋体" w:hAnsi="宋体"/>
                <w:szCs w:val="21"/>
              </w:rPr>
            </w:pPr>
            <w:r>
              <w:rPr>
                <w:rFonts w:hint="eastAsia" w:ascii="宋体" w:hAnsi="宋体"/>
                <w:szCs w:val="21"/>
              </w:rPr>
              <w:t>库房</w:t>
            </w:r>
          </w:p>
          <w:p>
            <w:pPr>
              <w:spacing w:line="400" w:lineRule="exact"/>
              <w:rPr>
                <w:rFonts w:ascii="宋体" w:hAnsi="宋体"/>
                <w:szCs w:val="21"/>
              </w:rPr>
            </w:pPr>
            <w:r>
              <w:rPr>
                <w:rFonts w:hint="eastAsia" w:ascii="宋体" w:hAnsi="宋体"/>
                <w:szCs w:val="21"/>
              </w:rPr>
              <w:t>特种设备</w:t>
            </w:r>
          </w:p>
          <w:p>
            <w:pPr>
              <w:spacing w:line="400" w:lineRule="exact"/>
              <w:rPr>
                <w:szCs w:val="21"/>
              </w:rPr>
            </w:pPr>
            <w:r>
              <w:rPr>
                <w:rFonts w:hint="eastAsia"/>
                <w:szCs w:val="21"/>
              </w:rPr>
              <w:t>环保设施（EMS）</w:t>
            </w:r>
          </w:p>
          <w:p>
            <w:pPr>
              <w:spacing w:line="400" w:lineRule="exact"/>
              <w:rPr>
                <w:szCs w:val="21"/>
              </w:rPr>
            </w:pPr>
            <w:r>
              <w:rPr>
                <w:rFonts w:hint="eastAsia"/>
                <w:szCs w:val="21"/>
              </w:rPr>
              <w:t>安全设施（OHSMS）</w:t>
            </w:r>
          </w:p>
          <w:p>
            <w:pPr>
              <w:pStyle w:val="3"/>
            </w:pPr>
          </w:p>
          <w:p>
            <w:pPr>
              <w:spacing w:line="400" w:lineRule="exact"/>
              <w:rPr>
                <w:szCs w:val="21"/>
              </w:rPr>
            </w:pPr>
            <w:r>
              <w:rPr>
                <w:rFonts w:hint="eastAsia" w:ascii="宋体" w:hAnsi="宋体" w:cs="宋体"/>
                <w:szCs w:val="21"/>
              </w:rPr>
              <w:t>主要检测设备及设备的检定/校准</w:t>
            </w:r>
            <w:r>
              <w:rPr>
                <w:rFonts w:hint="eastAsia"/>
                <w:szCs w:val="21"/>
              </w:rPr>
              <w:t>（QMS）</w:t>
            </w:r>
          </w:p>
          <w:p>
            <w:pPr>
              <w:spacing w:line="400" w:lineRule="exact"/>
              <w:rPr>
                <w:szCs w:val="21"/>
              </w:rPr>
            </w:pPr>
            <w:r>
              <w:rPr>
                <w:rFonts w:hint="eastAsia"/>
                <w:szCs w:val="21"/>
              </w:rPr>
              <w:t>环保监测设备（EMS）</w:t>
            </w:r>
          </w:p>
          <w:p>
            <w:pPr>
              <w:spacing w:line="400" w:lineRule="exact"/>
              <w:rPr>
                <w:szCs w:val="21"/>
              </w:rPr>
            </w:pPr>
            <w:r>
              <w:rPr>
                <w:rFonts w:hint="eastAsia"/>
                <w:szCs w:val="21"/>
              </w:rPr>
              <w:t>安全监测设备（OHSMS）</w:t>
            </w:r>
          </w:p>
        </w:tc>
        <w:tc>
          <w:tcPr>
            <w:tcW w:w="9579" w:type="dxa"/>
            <w:gridSpan w:val="2"/>
          </w:tcPr>
          <w:p>
            <w:pPr>
              <w:spacing w:line="0" w:lineRule="atLeast"/>
              <w:jc w:val="left"/>
              <w:rPr>
                <w:rFonts w:ascii="宋体" w:hAnsi="宋体"/>
                <w:color w:val="FF0000"/>
                <w:szCs w:val="21"/>
              </w:rPr>
            </w:pPr>
            <w:r>
              <w:rPr>
                <w:rFonts w:hint="eastAsia" w:asciiTheme="minorEastAsia" w:hAnsiTheme="minorEastAsia" w:eastAsiaTheme="minorEastAsia" w:cstheme="minorEastAsia"/>
                <w:szCs w:val="21"/>
                <w:lang w:val="zh-CN"/>
              </w:rPr>
              <w:t>电脑、打印机、修剪机、高枝剪、尖镐、喷雾器、灌水设备、手推车</w:t>
            </w:r>
            <w:r>
              <w:rPr>
                <w:rFonts w:hint="eastAsia" w:ascii="宋体" w:hAnsi="宋体" w:cs="宋体"/>
                <w:szCs w:val="21"/>
              </w:rPr>
              <w:t>等</w:t>
            </w:r>
            <w:r>
              <w:rPr>
                <w:rStyle w:val="15"/>
                <w:rFonts w:hint="eastAsia" w:ascii="宋体" w:hAnsi="宋体"/>
                <w:color w:val="auto"/>
                <w:szCs w:val="21"/>
              </w:rPr>
              <w:t>。</w:t>
            </w:r>
          </w:p>
          <w:p>
            <w:pPr>
              <w:spacing w:line="0"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办公面积110平方米。</w:t>
            </w:r>
          </w:p>
          <w:p>
            <w:pPr>
              <w:spacing w:line="400" w:lineRule="exact"/>
              <w:rPr>
                <w:rFonts w:ascii="宋体" w:hAnsi="宋体" w:cs="宋体"/>
                <w:szCs w:val="21"/>
              </w:rPr>
            </w:pPr>
            <w:r>
              <w:rPr>
                <w:rFonts w:hint="eastAsia" w:ascii="宋体" w:hAnsi="宋体" w:cs="宋体"/>
                <w:szCs w:val="21"/>
              </w:rPr>
              <w:t>无</w:t>
            </w:r>
          </w:p>
          <w:p>
            <w:pPr>
              <w:spacing w:line="400" w:lineRule="exact"/>
              <w:rPr>
                <w:szCs w:val="21"/>
              </w:rPr>
            </w:pPr>
            <w:r>
              <w:rPr>
                <w:rFonts w:hint="eastAsia" w:ascii="宋体" w:hAnsi="宋体" w:cs="宋体"/>
                <w:szCs w:val="21"/>
              </w:rPr>
              <w:t>灭火器、消防栓</w:t>
            </w:r>
            <w:r>
              <w:rPr>
                <w:rFonts w:hint="eastAsia"/>
                <w:szCs w:val="21"/>
              </w:rPr>
              <w:t>。</w:t>
            </w:r>
          </w:p>
          <w:p>
            <w:pPr>
              <w:spacing w:line="400" w:lineRule="exact"/>
              <w:rPr>
                <w:szCs w:val="21"/>
              </w:rPr>
            </w:pPr>
            <w:r>
              <w:rPr>
                <w:rFonts w:hint="eastAsia"/>
                <w:szCs w:val="21"/>
              </w:rPr>
              <w:t>配电箱、空开等</w:t>
            </w:r>
          </w:p>
          <w:p>
            <w:pPr>
              <w:pStyle w:val="3"/>
              <w:rPr>
                <w:szCs w:val="21"/>
              </w:rPr>
            </w:pPr>
          </w:p>
          <w:p>
            <w:pPr>
              <w:pStyle w:val="3"/>
              <w:rPr>
                <w:szCs w:val="21"/>
              </w:rPr>
            </w:pPr>
          </w:p>
          <w:p>
            <w:pPr>
              <w:ind w:firstLine="420" w:firstLineChars="200"/>
              <w:rPr>
                <w:rFonts w:ascii="宋体" w:hAnsi="宋体" w:cs="宋体"/>
                <w:szCs w:val="21"/>
              </w:rPr>
            </w:pPr>
            <w:r>
              <w:rPr>
                <w:rFonts w:hint="eastAsia"/>
                <w:szCs w:val="21"/>
              </w:rPr>
              <w:t>公司</w:t>
            </w:r>
            <w:r>
              <w:rPr>
                <w:rFonts w:hint="eastAsia"/>
                <w:szCs w:val="21"/>
                <w:lang w:eastAsia="zh-CN"/>
              </w:rPr>
              <w:t>配备</w:t>
            </w:r>
            <w:r>
              <w:rPr>
                <w:rFonts w:hint="eastAsia"/>
                <w:szCs w:val="21"/>
              </w:rPr>
              <w:t>有水准仪</w:t>
            </w:r>
            <w:r>
              <w:rPr>
                <w:rFonts w:hint="eastAsia"/>
                <w:szCs w:val="21"/>
                <w:lang w:eastAsia="zh-CN"/>
              </w:rPr>
              <w:t>、经纬仪</w:t>
            </w:r>
            <w:r>
              <w:rPr>
                <w:rFonts w:hint="eastAsia"/>
                <w:szCs w:val="21"/>
              </w:rPr>
              <w:t>等检测设备，能</w:t>
            </w:r>
            <w:r>
              <w:rPr>
                <w:rFonts w:hint="eastAsia"/>
                <w:szCs w:val="21"/>
                <w:lang w:eastAsia="zh-CN"/>
              </w:rPr>
              <w:t>满足</w:t>
            </w:r>
            <w:r>
              <w:rPr>
                <w:rFonts w:hint="eastAsia" w:ascii="宋体" w:hAnsi="宋体"/>
                <w:szCs w:val="21"/>
              </w:rPr>
              <w:t>园林绿化景观工程</w:t>
            </w:r>
            <w:r>
              <w:rPr>
                <w:rFonts w:hint="eastAsia"/>
                <w:szCs w:val="21"/>
              </w:rPr>
              <w:t>的</w:t>
            </w:r>
            <w:r>
              <w:rPr>
                <w:rFonts w:hint="eastAsia"/>
                <w:szCs w:val="21"/>
                <w:lang w:eastAsia="zh-CN"/>
              </w:rPr>
              <w:t>施工</w:t>
            </w:r>
            <w:r>
              <w:rPr>
                <w:rFonts w:hint="eastAsia"/>
                <w:szCs w:val="21"/>
              </w:rPr>
              <w:t>要求，查</w:t>
            </w:r>
            <w:r>
              <w:rPr>
                <w:rFonts w:hint="eastAsia"/>
                <w:szCs w:val="21"/>
                <w:lang w:eastAsia="zh-CN"/>
              </w:rPr>
              <w:t>以上</w:t>
            </w:r>
            <w:r>
              <w:rPr>
                <w:rFonts w:hint="eastAsia" w:ascii="宋体" w:hAnsi="宋体" w:cs="宋体"/>
                <w:szCs w:val="21"/>
              </w:rPr>
              <w:t>检测设备不能提供对其进行了校准的证据。</w:t>
            </w:r>
          </w:p>
          <w:p>
            <w:pPr>
              <w:spacing w:line="400" w:lineRule="exact"/>
              <w:rPr>
                <w:szCs w:val="21"/>
              </w:rPr>
            </w:pPr>
            <w:r>
              <w:rPr>
                <w:rFonts w:hint="eastAsia" w:ascii="宋体" w:hAnsi="宋体" w:cs="宋体"/>
                <w:szCs w:val="21"/>
              </w:rPr>
              <w:t xml:space="preserve">   </w:t>
            </w:r>
          </w:p>
        </w:tc>
        <w:tc>
          <w:tcPr>
            <w:tcW w:w="1003" w:type="dxa"/>
          </w:tcPr>
          <w:p>
            <w:pPr>
              <w:spacing w:line="440" w:lineRule="exact"/>
              <w:jc w:val="left"/>
              <w:rPr>
                <w:rFonts w:ascii="宋体" w:hAnsi="宋体"/>
                <w:szCs w:val="21"/>
              </w:rPr>
            </w:pPr>
            <w:r>
              <w:rPr>
                <w:rFonts w:hint="eastAsia" w:ascii="宋体" w:hAnsi="宋体"/>
                <w:szCs w:val="21"/>
              </w:rPr>
              <w:t>Q/E/S:7.1</w:t>
            </w:r>
          </w:p>
          <w:p>
            <w:pPr>
              <w:pStyle w:val="10"/>
              <w:rPr>
                <w:rFonts w:hint="default"/>
                <w:color w:val="auto"/>
                <w:kern w:val="2"/>
                <w:sz w:val="21"/>
                <w:szCs w:val="21"/>
              </w:rPr>
            </w:pPr>
            <w:r>
              <w:rPr>
                <w:color w:val="auto"/>
                <w:kern w:val="2"/>
                <w:sz w:val="21"/>
                <w:szCs w:val="21"/>
              </w:rPr>
              <w:t>Q7.1.3</w:t>
            </w:r>
          </w:p>
          <w:p>
            <w:pPr>
              <w:pStyle w:val="10"/>
              <w:rPr>
                <w:rFonts w:hint="default"/>
                <w:color w:val="auto"/>
                <w:kern w:val="2"/>
                <w:sz w:val="21"/>
                <w:szCs w:val="21"/>
              </w:rPr>
            </w:pPr>
          </w:p>
          <w:p>
            <w:pPr>
              <w:pStyle w:val="10"/>
              <w:rPr>
                <w:rFonts w:hint="default"/>
                <w:color w:val="auto"/>
                <w:kern w:val="2"/>
                <w:sz w:val="21"/>
                <w:szCs w:val="21"/>
              </w:rPr>
            </w:pPr>
          </w:p>
          <w:p>
            <w:pPr>
              <w:pStyle w:val="10"/>
              <w:rPr>
                <w:rFonts w:hint="default"/>
                <w:color w:val="auto"/>
                <w:kern w:val="2"/>
                <w:sz w:val="21"/>
                <w:szCs w:val="21"/>
              </w:rPr>
            </w:pPr>
          </w:p>
          <w:p>
            <w:pPr>
              <w:pStyle w:val="10"/>
              <w:rPr>
                <w:rFonts w:hint="default"/>
                <w:color w:val="auto"/>
                <w:kern w:val="2"/>
                <w:sz w:val="21"/>
                <w:szCs w:val="21"/>
              </w:rPr>
            </w:pPr>
          </w:p>
          <w:p>
            <w:pPr>
              <w:pStyle w:val="10"/>
              <w:rPr>
                <w:rFonts w:hint="default"/>
                <w:color w:val="auto"/>
                <w:kern w:val="2"/>
                <w:sz w:val="21"/>
                <w:szCs w:val="21"/>
              </w:rPr>
            </w:pPr>
            <w:r>
              <w:rPr>
                <w:color w:val="auto"/>
                <w:kern w:val="2"/>
                <w:sz w:val="21"/>
                <w:szCs w:val="21"/>
              </w:rPr>
              <w:t>Q7.1.5</w:t>
            </w: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rPr>
                <w:rFonts w:ascii="宋体" w:hAnsi="宋体"/>
                <w:szCs w:val="21"/>
              </w:rPr>
            </w:pPr>
          </w:p>
          <w:p>
            <w:pPr>
              <w:spacing w:line="440" w:lineRule="exact"/>
              <w:rPr>
                <w:rFonts w:ascii="宋体" w:hAnsi="宋体"/>
                <w:szCs w:val="21"/>
              </w:rPr>
            </w:pPr>
          </w:p>
        </w:tc>
        <w:tc>
          <w:tcPr>
            <w:tcW w:w="851" w:type="dxa"/>
            <w:gridSpan w:val="2"/>
          </w:tcPr>
          <w:p>
            <w:pPr>
              <w:spacing w:line="440" w:lineRule="exact"/>
              <w:rPr>
                <w:rFonts w:ascii="宋体" w:hAnsi="宋体"/>
                <w:szCs w:val="21"/>
              </w:rPr>
            </w:pPr>
            <w:r>
              <w:rPr>
                <w:rFonts w:hint="eastAsia" w:ascii="宋体" w:hAnsi="宋体"/>
                <w:szCs w:val="21"/>
              </w:rPr>
              <w:t>符合</w:t>
            </w: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r>
              <w:rPr>
                <w:rFonts w:hint="eastAsia" w:ascii="宋体" w:hAnsi="宋体"/>
                <w:szCs w:val="21"/>
              </w:rPr>
              <w:t>不符合</w:t>
            </w:r>
          </w:p>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trPr>
        <w:tc>
          <w:tcPr>
            <w:tcW w:w="3701" w:type="dxa"/>
            <w:gridSpan w:val="2"/>
          </w:tcPr>
          <w:p>
            <w:pPr>
              <w:spacing w:line="400" w:lineRule="exact"/>
              <w:rPr>
                <w:rFonts w:ascii="宋体" w:hAnsi="宋体"/>
                <w:szCs w:val="21"/>
              </w:rPr>
            </w:pPr>
            <w:r>
              <w:rPr>
                <w:rFonts w:hint="eastAsia" w:ascii="宋体" w:hAnsi="宋体"/>
                <w:szCs w:val="21"/>
              </w:rPr>
              <w:t>周边环境（EMS）</w:t>
            </w:r>
          </w:p>
          <w:p>
            <w:pPr>
              <w:spacing w:line="400" w:lineRule="exact"/>
              <w:rPr>
                <w:rFonts w:ascii="宋体" w:hAnsi="宋体"/>
                <w:szCs w:val="21"/>
              </w:rPr>
            </w:pPr>
            <w:r>
              <w:rPr>
                <w:rFonts w:hint="eastAsia" w:ascii="宋体" w:hAnsi="宋体"/>
                <w:szCs w:val="21"/>
              </w:rPr>
              <w:t>场区布局（一级风险）</w:t>
            </w:r>
          </w:p>
          <w:p>
            <w:pPr>
              <w:spacing w:line="400" w:lineRule="exact"/>
              <w:rPr>
                <w:rFonts w:ascii="宋体" w:hAnsi="宋体"/>
                <w:szCs w:val="21"/>
              </w:rPr>
            </w:pPr>
            <w:r>
              <w:rPr>
                <w:rFonts w:hint="eastAsia" w:ascii="宋体" w:hAnsi="宋体"/>
                <w:szCs w:val="21"/>
              </w:rPr>
              <w:t>排污口及排污管网（一级风险）</w:t>
            </w:r>
          </w:p>
          <w:p>
            <w:pPr>
              <w:spacing w:line="400" w:lineRule="exact"/>
              <w:rPr>
                <w:rFonts w:ascii="宋体" w:hAnsi="宋体"/>
                <w:szCs w:val="21"/>
              </w:rPr>
            </w:pPr>
            <w:r>
              <w:rPr>
                <w:rFonts w:hint="eastAsia" w:ascii="宋体" w:hAnsi="宋体"/>
                <w:szCs w:val="21"/>
              </w:rPr>
              <w:t>关注动力装置场所、危险化学品仓库、固废堆放场所</w:t>
            </w:r>
          </w:p>
        </w:tc>
        <w:tc>
          <w:tcPr>
            <w:tcW w:w="9579" w:type="dxa"/>
            <w:gridSpan w:val="2"/>
          </w:tcPr>
          <w:p>
            <w:pPr>
              <w:ind w:firstLine="420" w:firstLineChars="200"/>
              <w:rPr>
                <w:rFonts w:ascii="宋体" w:hAnsi="宋体" w:cs="宋体"/>
                <w:szCs w:val="21"/>
              </w:rPr>
            </w:pPr>
            <w:r>
              <w:rPr>
                <w:rFonts w:hint="eastAsia" w:ascii="宋体" w:hAnsi="宋体" w:cs="宋体"/>
                <w:szCs w:val="21"/>
              </w:rPr>
              <w:t>在居民区内</w:t>
            </w:r>
          </w:p>
          <w:p>
            <w:pPr>
              <w:spacing w:line="400" w:lineRule="exact"/>
              <w:rPr>
                <w:rFonts w:ascii="宋体" w:hAnsi="宋体"/>
                <w:szCs w:val="21"/>
              </w:rPr>
            </w:pPr>
          </w:p>
          <w:p>
            <w:pPr>
              <w:spacing w:line="400" w:lineRule="exact"/>
              <w:rPr>
                <w:rFonts w:ascii="宋体" w:hAnsi="宋体"/>
                <w:szCs w:val="21"/>
              </w:rPr>
            </w:pPr>
          </w:p>
        </w:tc>
        <w:tc>
          <w:tcPr>
            <w:tcW w:w="1003" w:type="dxa"/>
          </w:tcPr>
          <w:p>
            <w:pPr>
              <w:spacing w:line="440" w:lineRule="exact"/>
              <w:jc w:val="center"/>
              <w:rPr>
                <w:rFonts w:ascii="宋体" w:hAnsi="宋体"/>
                <w:szCs w:val="21"/>
              </w:rPr>
            </w:pPr>
          </w:p>
        </w:tc>
        <w:tc>
          <w:tcPr>
            <w:tcW w:w="851" w:type="dxa"/>
            <w:gridSpan w:val="2"/>
          </w:tcPr>
          <w:p>
            <w:pPr>
              <w:spacing w:line="440" w:lineRule="exact"/>
              <w:jc w:val="center"/>
              <w:rPr>
                <w:rFonts w:ascii="宋体" w:hAnsi="宋体"/>
                <w:szCs w:val="21"/>
              </w:rPr>
            </w:pPr>
            <w:r>
              <w:rPr>
                <w:rFonts w:hint="eastAsia" w:ascii="宋体" w:hAnsi="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701" w:type="dxa"/>
            <w:gridSpan w:val="2"/>
          </w:tcPr>
          <w:p>
            <w:pPr>
              <w:spacing w:line="400" w:lineRule="exact"/>
              <w:rPr>
                <w:rFonts w:ascii="宋体" w:hAnsi="宋体"/>
                <w:szCs w:val="21"/>
              </w:rPr>
            </w:pPr>
            <w:r>
              <w:rPr>
                <w:rFonts w:hint="eastAsia" w:ascii="宋体" w:hAnsi="宋体"/>
                <w:szCs w:val="21"/>
              </w:rPr>
              <w:t>顾客及相关方投诉</w:t>
            </w:r>
          </w:p>
        </w:tc>
        <w:tc>
          <w:tcPr>
            <w:tcW w:w="9579" w:type="dxa"/>
            <w:gridSpan w:val="2"/>
          </w:tcPr>
          <w:p>
            <w:pPr>
              <w:spacing w:line="400" w:lineRule="exact"/>
              <w:rPr>
                <w:rFonts w:ascii="宋体" w:hAnsi="宋体"/>
                <w:szCs w:val="21"/>
              </w:rPr>
            </w:pPr>
            <w:r>
              <w:rPr>
                <w:rFonts w:hint="eastAsia" w:ascii="宋体" w:hAnsi="宋体"/>
                <w:szCs w:val="21"/>
              </w:rPr>
              <w:t>暂无</w:t>
            </w:r>
          </w:p>
        </w:tc>
        <w:tc>
          <w:tcPr>
            <w:tcW w:w="1003" w:type="dxa"/>
          </w:tcPr>
          <w:p>
            <w:pPr>
              <w:spacing w:line="440" w:lineRule="exact"/>
              <w:jc w:val="center"/>
              <w:rPr>
                <w:rFonts w:ascii="宋体" w:hAnsi="宋体"/>
                <w:szCs w:val="21"/>
              </w:rPr>
            </w:pPr>
          </w:p>
        </w:tc>
        <w:tc>
          <w:tcPr>
            <w:tcW w:w="851" w:type="dxa"/>
            <w:gridSpan w:val="2"/>
          </w:tcPr>
          <w:p>
            <w:pPr>
              <w:spacing w:line="440" w:lineRule="exact"/>
              <w:jc w:val="center"/>
              <w:rPr>
                <w:rFonts w:ascii="宋体" w:hAnsi="宋体"/>
                <w:szCs w:val="21"/>
              </w:rPr>
            </w:pPr>
            <w:r>
              <w:rPr>
                <w:rFonts w:hint="eastAsia" w:ascii="宋体" w:hAnsi="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9" w:hRule="atLeast"/>
        </w:trPr>
        <w:tc>
          <w:tcPr>
            <w:tcW w:w="3701" w:type="dxa"/>
            <w:gridSpan w:val="2"/>
          </w:tcPr>
          <w:p>
            <w:pPr>
              <w:adjustRightInd w:val="0"/>
              <w:spacing w:line="400" w:lineRule="exact"/>
              <w:textAlignment w:val="baseline"/>
              <w:rPr>
                <w:rFonts w:ascii="宋体" w:hAnsi="宋体"/>
                <w:kern w:val="0"/>
                <w:szCs w:val="21"/>
              </w:rPr>
            </w:pPr>
            <w:r>
              <w:rPr>
                <w:rFonts w:hint="eastAsia" w:ascii="宋体" w:hAnsi="宋体"/>
                <w:kern w:val="0"/>
                <w:szCs w:val="21"/>
              </w:rPr>
              <w:t>是否具备二阶段审核结论</w:t>
            </w:r>
          </w:p>
          <w:p>
            <w:pPr>
              <w:adjustRightInd w:val="0"/>
              <w:spacing w:line="400" w:lineRule="exact"/>
              <w:textAlignment w:val="baseline"/>
              <w:rPr>
                <w:rFonts w:ascii="宋体" w:hAnsi="宋体"/>
                <w:kern w:val="0"/>
                <w:szCs w:val="21"/>
              </w:rPr>
            </w:pPr>
          </w:p>
          <w:p>
            <w:pPr>
              <w:adjustRightInd w:val="0"/>
              <w:spacing w:line="400" w:lineRule="exact"/>
              <w:textAlignment w:val="baseline"/>
              <w:rPr>
                <w:rFonts w:ascii="宋体" w:hAnsi="宋体"/>
                <w:kern w:val="0"/>
                <w:szCs w:val="21"/>
              </w:rPr>
            </w:pPr>
          </w:p>
          <w:p>
            <w:pPr>
              <w:adjustRightInd w:val="0"/>
              <w:spacing w:line="400" w:lineRule="exact"/>
              <w:textAlignment w:val="baseline"/>
              <w:rPr>
                <w:rFonts w:ascii="宋体" w:hAnsi="宋体"/>
                <w:kern w:val="0"/>
                <w:szCs w:val="21"/>
              </w:rPr>
            </w:pPr>
            <w:r>
              <w:rPr>
                <w:rFonts w:hint="eastAsia" w:ascii="宋体" w:hAnsi="宋体"/>
                <w:kern w:val="0"/>
                <w:szCs w:val="21"/>
              </w:rPr>
              <w:t>第二阶段重要审核点等相关内容</w:t>
            </w:r>
          </w:p>
        </w:tc>
        <w:tc>
          <w:tcPr>
            <w:tcW w:w="9579" w:type="dxa"/>
            <w:gridSpan w:val="2"/>
          </w:tcPr>
          <w:p>
            <w:pPr>
              <w:adjustRightInd w:val="0"/>
              <w:snapToGrid w:val="0"/>
              <w:rPr>
                <w:rFonts w:ascii="宋体" w:hAnsi="宋体"/>
                <w:szCs w:val="21"/>
              </w:rPr>
            </w:pPr>
            <w:r>
              <w:rPr>
                <w:rFonts w:hint="eastAsia" w:ascii="宋体" w:hAnsi="宋体"/>
                <w:szCs w:val="21"/>
              </w:rPr>
              <w:t>通过一阶段对受审核方的临时多场所、办公场所巡视和观察，对管理体系绩效要求有重大影响的过程、活动、场所和现场运行进行观察、巡视及总体性评价，组织具备二阶段审核条件，可进行二阶段审核。</w:t>
            </w:r>
          </w:p>
          <w:p>
            <w:pPr>
              <w:adjustRightInd w:val="0"/>
              <w:snapToGrid w:val="0"/>
              <w:rPr>
                <w:rFonts w:ascii="宋体" w:hAnsi="宋体"/>
                <w:szCs w:val="21"/>
              </w:rPr>
            </w:pPr>
            <w:r>
              <w:rPr>
                <w:rFonts w:hint="eastAsia" w:ascii="宋体" w:hAnsi="宋体"/>
                <w:szCs w:val="21"/>
              </w:rPr>
              <w:t>二阶段质量、环境、职业健康安全管理体系宜重点关注（办公过程和安保服务过程中环境、职业健康安全保护等）</w:t>
            </w:r>
          </w:p>
          <w:p>
            <w:pPr>
              <w:adjustRightInd w:val="0"/>
              <w:snapToGrid w:val="0"/>
              <w:rPr>
                <w:rFonts w:ascii="宋体" w:hAnsi="宋体"/>
                <w:szCs w:val="21"/>
              </w:rPr>
            </w:pPr>
            <w:r>
              <w:rPr>
                <w:rFonts w:hint="eastAsia" w:ascii="宋体" w:hAnsi="宋体"/>
                <w:szCs w:val="21"/>
              </w:rPr>
              <w:t>重点审核部门：人事部、市场部、工程部。</w:t>
            </w:r>
          </w:p>
          <w:p>
            <w:pPr>
              <w:adjustRightInd w:val="0"/>
              <w:snapToGrid w:val="0"/>
              <w:rPr>
                <w:rFonts w:ascii="宋体" w:hAnsi="宋体"/>
                <w:szCs w:val="21"/>
              </w:rPr>
            </w:pPr>
            <w:r>
              <w:rPr>
                <w:rFonts w:hint="eastAsia" w:ascii="宋体" w:hAnsi="宋体"/>
                <w:szCs w:val="21"/>
              </w:rPr>
              <w:t>重点审核过程：服务提供控制、顾客满意；产品和服务放行等。</w:t>
            </w:r>
          </w:p>
          <w:p>
            <w:pPr>
              <w:adjustRightInd w:val="0"/>
              <w:snapToGrid w:val="0"/>
              <w:rPr>
                <w:rFonts w:ascii="宋体" w:hAnsi="宋体"/>
                <w:kern w:val="0"/>
                <w:szCs w:val="21"/>
              </w:rPr>
            </w:pPr>
            <w:r>
              <w:rPr>
                <w:rFonts w:hint="eastAsia" w:ascii="宋体" w:hAnsi="宋体"/>
                <w:szCs w:val="21"/>
              </w:rPr>
              <w:t>重点审核场所：办公场所、服务场所。</w:t>
            </w:r>
          </w:p>
        </w:tc>
        <w:tc>
          <w:tcPr>
            <w:tcW w:w="1003" w:type="dxa"/>
          </w:tcPr>
          <w:p>
            <w:pPr>
              <w:spacing w:line="440" w:lineRule="exact"/>
              <w:jc w:val="center"/>
              <w:rPr>
                <w:rFonts w:ascii="宋体" w:hAnsi="宋体"/>
                <w:szCs w:val="21"/>
              </w:rPr>
            </w:pPr>
          </w:p>
        </w:tc>
        <w:tc>
          <w:tcPr>
            <w:tcW w:w="851" w:type="dxa"/>
            <w:gridSpan w:val="2"/>
          </w:tcPr>
          <w:p>
            <w:pPr>
              <w:spacing w:line="440" w:lineRule="exact"/>
              <w:jc w:val="center"/>
              <w:rPr>
                <w:rFonts w:ascii="宋体" w:hAnsi="宋体"/>
                <w:szCs w:val="21"/>
              </w:rPr>
            </w:pPr>
          </w:p>
        </w:tc>
      </w:tr>
    </w:tbl>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r>
        <w:ptab w:relativeTo="margin" w:alignment="center" w:leader="none"/>
      </w:r>
    </w:p>
    <w:p>
      <w:pPr>
        <w:pStyle w:val="6"/>
      </w:pP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Lucida Sans">
    <w:altName w:val="Lucida Sans Unicode"/>
    <w:panose1 w:val="00000000000000000000"/>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6</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7"/>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4"/>
        <w:rFonts w:hint="default"/>
        <w:w w:val="90"/>
      </w:rPr>
      <w:t>Beijing International Standard united Certification Co.,Ltd.</w:t>
    </w:r>
  </w:p>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TrackMoves/>
  <w:documentProtection w:enforcement="0"/>
  <w:defaultTabStop w:val="420"/>
  <w:drawingGridHorizontalSpacing w:val="105"/>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9697F"/>
    <w:rsid w:val="0079697F"/>
    <w:rsid w:val="00B603EC"/>
    <w:rsid w:val="00CD056E"/>
    <w:rsid w:val="025A12C7"/>
    <w:rsid w:val="02771088"/>
    <w:rsid w:val="028C5CBA"/>
    <w:rsid w:val="028F5BCE"/>
    <w:rsid w:val="02EC36ED"/>
    <w:rsid w:val="0363240F"/>
    <w:rsid w:val="03A60EEB"/>
    <w:rsid w:val="05B50992"/>
    <w:rsid w:val="06995723"/>
    <w:rsid w:val="08AB434F"/>
    <w:rsid w:val="0C1D6BF7"/>
    <w:rsid w:val="0D1F01DB"/>
    <w:rsid w:val="12C53017"/>
    <w:rsid w:val="14F317C8"/>
    <w:rsid w:val="154C17B8"/>
    <w:rsid w:val="19572309"/>
    <w:rsid w:val="1B987D65"/>
    <w:rsid w:val="1D3E6824"/>
    <w:rsid w:val="1EE275EF"/>
    <w:rsid w:val="202E3FAC"/>
    <w:rsid w:val="23B3351D"/>
    <w:rsid w:val="241652BE"/>
    <w:rsid w:val="251A6753"/>
    <w:rsid w:val="252A2E55"/>
    <w:rsid w:val="25B84844"/>
    <w:rsid w:val="26223D37"/>
    <w:rsid w:val="2860346C"/>
    <w:rsid w:val="2AB714E2"/>
    <w:rsid w:val="2B9727AC"/>
    <w:rsid w:val="33BA0EAF"/>
    <w:rsid w:val="345360ED"/>
    <w:rsid w:val="350C73DA"/>
    <w:rsid w:val="359D1F3C"/>
    <w:rsid w:val="3708535D"/>
    <w:rsid w:val="37804D36"/>
    <w:rsid w:val="37EF307D"/>
    <w:rsid w:val="391F3341"/>
    <w:rsid w:val="39DA6E0B"/>
    <w:rsid w:val="3B9C4B9B"/>
    <w:rsid w:val="3C47646A"/>
    <w:rsid w:val="3C680E42"/>
    <w:rsid w:val="3D4F3375"/>
    <w:rsid w:val="3D7C5D37"/>
    <w:rsid w:val="3DBD75AB"/>
    <w:rsid w:val="3E9F7752"/>
    <w:rsid w:val="3F282CAB"/>
    <w:rsid w:val="3FA739A9"/>
    <w:rsid w:val="40B30F46"/>
    <w:rsid w:val="42CF3125"/>
    <w:rsid w:val="42FA5ED0"/>
    <w:rsid w:val="45FD3CC5"/>
    <w:rsid w:val="4608581B"/>
    <w:rsid w:val="47E451FA"/>
    <w:rsid w:val="49B15B12"/>
    <w:rsid w:val="4A7F2D7F"/>
    <w:rsid w:val="4BAE3142"/>
    <w:rsid w:val="4FD8553F"/>
    <w:rsid w:val="5088102F"/>
    <w:rsid w:val="51015A17"/>
    <w:rsid w:val="51BD7FDF"/>
    <w:rsid w:val="51E60B62"/>
    <w:rsid w:val="525C264C"/>
    <w:rsid w:val="526E6737"/>
    <w:rsid w:val="548412E1"/>
    <w:rsid w:val="54EF5EE7"/>
    <w:rsid w:val="56A20063"/>
    <w:rsid w:val="5B2E0680"/>
    <w:rsid w:val="5B9348A4"/>
    <w:rsid w:val="5C4943DC"/>
    <w:rsid w:val="60F81EE0"/>
    <w:rsid w:val="61412DCC"/>
    <w:rsid w:val="627C4BD2"/>
    <w:rsid w:val="63E916E2"/>
    <w:rsid w:val="657D2499"/>
    <w:rsid w:val="65986DF1"/>
    <w:rsid w:val="65F74622"/>
    <w:rsid w:val="69B35ED6"/>
    <w:rsid w:val="6A753867"/>
    <w:rsid w:val="6DDA2812"/>
    <w:rsid w:val="6FF77DCC"/>
    <w:rsid w:val="710601D5"/>
    <w:rsid w:val="745115E8"/>
    <w:rsid w:val="76186CA1"/>
    <w:rsid w:val="7A1D5C63"/>
    <w:rsid w:val="7BB137DE"/>
    <w:rsid w:val="7CED5EDC"/>
    <w:rsid w:val="7E8C5107"/>
    <w:rsid w:val="7ECB5D3B"/>
    <w:rsid w:val="7F103F4C"/>
    <w:rsid w:val="7F7A41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0"/>
    <w:pPr>
      <w:spacing w:line="360" w:lineRule="exact"/>
    </w:pPr>
    <w:rPr>
      <w:rFonts w:ascii="宋体"/>
      <w:sz w:val="28"/>
    </w:rPr>
  </w:style>
  <w:style w:type="paragraph" w:styleId="4">
    <w:name w:val="Plain Text"/>
    <w:basedOn w:val="1"/>
    <w:qFormat/>
    <w:uiPriority w:val="99"/>
    <w:rPr>
      <w:rFonts w:ascii="宋体" w:hAnsi="Courier New"/>
    </w:rPr>
  </w:style>
  <w:style w:type="paragraph" w:styleId="5">
    <w:name w:val="Balloon Text"/>
    <w:basedOn w:val="1"/>
    <w:link w:val="13"/>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10">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character" w:customStyle="1" w:styleId="11">
    <w:name w:val="页眉 Char"/>
    <w:basedOn w:val="9"/>
    <w:link w:val="7"/>
    <w:qFormat/>
    <w:uiPriority w:val="99"/>
    <w:rPr>
      <w:rFonts w:ascii="Times New Roman" w:hAnsi="Times New Roman" w:eastAsia="宋体" w:cs="Times New Roman"/>
      <w:sz w:val="18"/>
      <w:szCs w:val="18"/>
    </w:rPr>
  </w:style>
  <w:style w:type="character" w:customStyle="1" w:styleId="12">
    <w:name w:val="页脚 Char"/>
    <w:basedOn w:val="9"/>
    <w:link w:val="6"/>
    <w:qFormat/>
    <w:uiPriority w:val="99"/>
    <w:rPr>
      <w:rFonts w:ascii="Times New Roman" w:hAnsi="Times New Roman" w:eastAsia="宋体" w:cs="Times New Roman"/>
      <w:sz w:val="18"/>
      <w:szCs w:val="18"/>
    </w:rPr>
  </w:style>
  <w:style w:type="character" w:customStyle="1" w:styleId="13">
    <w:name w:val="批注框文本 Char"/>
    <w:basedOn w:val="9"/>
    <w:link w:val="5"/>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character" w:customStyle="1" w:styleId="15">
    <w:name w:val="占位符文本1"/>
    <w:semiHidden/>
    <w:qFormat/>
    <w:uiPriority w:val="99"/>
    <w:rPr>
      <w:color w:val="808080"/>
    </w:rPr>
  </w:style>
  <w:style w:type="paragraph" w:styleId="16">
    <w:name w:val="List Paragraph"/>
    <w:basedOn w:val="1"/>
    <w:qFormat/>
    <w:uiPriority w:val="34"/>
    <w:pPr>
      <w:ind w:firstLine="420" w:firstLineChars="200"/>
    </w:pPr>
    <w:rPr>
      <w:szCs w:val="22"/>
    </w:rPr>
  </w:style>
  <w:style w:type="character" w:customStyle="1" w:styleId="17">
    <w:name w:val="占位符文本2"/>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467</Words>
  <Characters>2665</Characters>
  <Lines>22</Lines>
  <Paragraphs>6</Paragraphs>
  <TotalTime>6</TotalTime>
  <ScaleCrop>false</ScaleCrop>
  <LinksUpToDate>false</LinksUpToDate>
  <CharactersWithSpaces>3126</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zx</cp:lastModifiedBy>
  <dcterms:modified xsi:type="dcterms:W3CDTF">2021-07-16T10:36:09Z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25FBB2A9AC86402B80A33E6B73A619F5</vt:lpwstr>
  </property>
</Properties>
</file>