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黑龙江佳和市政工程有限公司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0737-2021-QEO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91230111551329814W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提供临时多现场</w:t>
            </w:r>
            <w:r>
              <w:rPr>
                <w:rFonts w:hint="eastAsia"/>
                <w:color w:val="000000" w:themeColor="text1"/>
                <w:szCs w:val="21"/>
                <w:u w:val="single"/>
                <w14:textFill>
                  <w14:solidFill>
                    <w14:schemeClr w14:val="tx1"/>
                  </w14:solidFill>
                </w14:textFill>
              </w:rPr>
              <w:t>　　</w:t>
            </w:r>
            <w:r>
              <w:rPr>
                <w:rFonts w:hint="eastAsia"/>
                <w:color w:val="000000" w:themeColor="text1"/>
                <w:szCs w:val="21"/>
                <w:u w:val="single"/>
                <w:lang w:val="en-US" w:eastAsia="zh-CN"/>
                <w14:textFill>
                  <w14:solidFill>
                    <w14:schemeClr w14:val="tx1"/>
                  </w14:solidFill>
                </w14:textFill>
              </w:rPr>
              <w:t>1</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个数</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rFonts w:hint="eastAsia" w:eastAsia="宋体"/>
                <w:color w:val="000000"/>
                <w:szCs w:val="21"/>
                <w:lang w:val="en-US" w:eastAsia="zh-CN"/>
              </w:rPr>
            </w:pPr>
            <w:r>
              <w:rPr>
                <w:rFonts w:hint="eastAsia"/>
                <w:color w:val="000000"/>
                <w:szCs w:val="21"/>
                <w:lang w:val="en-US" w:eastAsia="zh-CN"/>
              </w:rPr>
              <w:t>无</w:t>
            </w:r>
          </w:p>
        </w:tc>
        <w:tc>
          <w:tcPr>
            <w:tcW w:w="1155"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配备，需送检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rFonts w:hint="eastAsia"/>
                <w:color w:val="000000"/>
                <w:szCs w:val="21"/>
                <w:lang w:eastAsia="zh-CN"/>
              </w:rPr>
            </w:pPr>
            <w:r>
              <w:rPr>
                <w:rFonts w:hint="eastAsia"/>
                <w:color w:val="000000"/>
                <w:szCs w:val="21"/>
                <w:lang w:eastAsia="zh-CN"/>
              </w:rPr>
              <w:t>无</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3888740</wp:posOffset>
                  </wp:positionH>
                  <wp:positionV relativeFrom="paragraph">
                    <wp:posOffset>71755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日期：2021年07月14日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日期：2021年07月14日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794BE9"/>
    <w:rsid w:val="3C271DD3"/>
    <w:rsid w:val="3E427DFF"/>
    <w:rsid w:val="76B139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zx</cp:lastModifiedBy>
  <dcterms:modified xsi:type="dcterms:W3CDTF">2021-07-15T14:29:10Z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234FED400DC9482F8A6137D79FA4067B</vt:lpwstr>
  </property>
</Properties>
</file>