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成都长宏途腾家具有限公司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w:t>
            </w:r>
          </w:p>
          <w:p>
            <w:pPr>
              <w:spacing w:line="240" w:lineRule="exact"/>
              <w:jc w:val="center"/>
              <w:rPr>
                <w:b/>
                <w:color w:val="000000"/>
                <w:sz w:val="20"/>
                <w:szCs w:val="20"/>
              </w:rPr>
            </w:pPr>
            <w:r>
              <w:rPr>
                <w:b/>
                <w:color w:val="000000"/>
                <w:sz w:val="20"/>
                <w:szCs w:val="20"/>
              </w:rPr>
              <w:t>E:23.01.01</w:t>
            </w:r>
          </w:p>
          <w:p>
            <w:pPr>
              <w:spacing w:line="240" w:lineRule="exact"/>
              <w:jc w:val="center"/>
              <w:rPr>
                <w:b/>
                <w:color w:val="000000"/>
                <w:sz w:val="20"/>
                <w:szCs w:val="20"/>
              </w:rPr>
            </w:pPr>
            <w:r>
              <w:rPr>
                <w:b/>
                <w:color w:val="000000"/>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pacing w:val="-1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成都长宏途腾家具有限公司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成都市双流区西南航空经济开发区杨桥路408号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四川省成都市双流区彭光荣路217号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付正英</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15308064362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付正英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罗梅</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229055145@qq.com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Q：办公家具的组装及销售</w:t>
            </w:r>
          </w:p>
          <w:p>
            <w:pPr>
              <w:spacing w:line="400" w:lineRule="exact"/>
              <w:rPr>
                <w:rFonts w:ascii="宋体" w:hAnsi="宋体"/>
                <w:b/>
                <w:color w:val="000000"/>
                <w:sz w:val="20"/>
                <w:szCs w:val="20"/>
              </w:rPr>
            </w:pPr>
            <w:r>
              <w:rPr>
                <w:rFonts w:ascii="宋体" w:hAnsi="宋体"/>
                <w:b/>
                <w:color w:val="000000"/>
                <w:sz w:val="20"/>
                <w:szCs w:val="20"/>
              </w:rPr>
              <w:t>E：办公家具的组装及销售所涉及场所的相关环境管理活动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O：办公家具的组装及销售所涉及场所的相关职业健康安全管理活动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w:t>
            </w:r>
          </w:p>
          <w:p>
            <w:pPr>
              <w:spacing w:line="280" w:lineRule="exact"/>
              <w:rPr>
                <w:rFonts w:ascii="宋体"/>
                <w:b/>
                <w:color w:val="000000"/>
                <w:sz w:val="20"/>
                <w:szCs w:val="20"/>
              </w:rPr>
            </w:pPr>
            <w:r>
              <w:rPr>
                <w:rFonts w:ascii="宋体"/>
                <w:b/>
                <w:color w:val="000000"/>
                <w:sz w:val="20"/>
                <w:szCs w:val="20"/>
              </w:rPr>
              <w:t>E：23.01.01</w:t>
            </w:r>
          </w:p>
          <w:p>
            <w:pPr>
              <w:spacing w:line="280" w:lineRule="exact"/>
              <w:rPr>
                <w:rFonts w:ascii="宋体"/>
                <w:b/>
                <w:color w:val="000000"/>
                <w:sz w:val="20"/>
                <w:szCs w:val="20"/>
              </w:rPr>
            </w:pPr>
            <w:r>
              <w:rPr>
                <w:rFonts w:ascii="宋体"/>
                <w:b/>
                <w:color w:val="000000"/>
                <w:sz w:val="20"/>
                <w:szCs w:val="20"/>
              </w:rPr>
              <w:t>O：23.01.01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行政部、市场部、生产部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0"/>
              </w:rPr>
              <w:t>办公家具</w:t>
            </w:r>
          </w:p>
          <w:p>
            <w:pPr>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eastAsia="zh-CN"/>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eastAsia="zh-CN"/>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p>
            <w:pPr>
              <w:tabs>
                <w:tab w:val="left" w:pos="360"/>
              </w:tabs>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eastAsia="zh-CN"/>
              </w:rPr>
            </w:pP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24" w:name="生产地址"/>
            <w:r>
              <w:t>四川省成都市双流区彭光荣路217号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黑体" w:hAnsi="黑体" w:eastAsia="黑体" w:cs="黑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黑体" w:hAnsi="黑体" w:eastAsia="黑体" w:cs="黑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pStyle w:val="3"/>
              <w:keepNext w:val="0"/>
              <w:keepLines w:val="0"/>
              <w:widowControl/>
              <w:suppressLineNumbers w:val="0"/>
              <w:shd w:val="clear" w:color="auto" w:fill="FFFFFF"/>
              <w:ind w:left="0" w:firstLine="0"/>
              <w:jc w:val="both"/>
              <w:rPr>
                <w:rFonts w:ascii="宋体"/>
                <w:color w:val="000000"/>
                <w:spacing w:val="-10"/>
                <w:sz w:val="20"/>
                <w:szCs w:val="20"/>
              </w:rPr>
            </w:pPr>
            <w:r>
              <w:rPr>
                <w:rFonts w:hint="eastAsia" w:ascii="黑体" w:hAnsi="黑体" w:eastAsia="黑体" w:cs="黑体"/>
                <w:color w:val="000000"/>
                <w:spacing w:val="-10"/>
                <w:sz w:val="20"/>
                <w:szCs w:val="20"/>
                <w:highlight w:val="none"/>
              </w:rPr>
              <w:t>■</w:t>
            </w:r>
            <w:r>
              <w:rPr>
                <w:rFonts w:hint="eastAsia" w:ascii="宋体" w:hAnsi="宋体"/>
                <w:color w:val="000000"/>
                <w:spacing w:val="-10"/>
                <w:sz w:val="20"/>
                <w:szCs w:val="20"/>
                <w:highlight w:val="none"/>
              </w:rPr>
              <w:t>产品技术标准号：</w:t>
            </w:r>
            <w:r>
              <w:rPr>
                <w:rFonts w:hint="eastAsia" w:ascii="宋体" w:hAnsi="宋体" w:eastAsia="宋体" w:cs="Times New Roman"/>
                <w:b w:val="0"/>
                <w:bCs w:val="0"/>
                <w:kern w:val="2"/>
                <w:sz w:val="21"/>
                <w:szCs w:val="21"/>
                <w:highlight w:val="none"/>
                <w:lang w:val="en-US" w:eastAsia="zh-CN" w:bidi="ar-SA"/>
              </w:rPr>
              <w:t>家具力学性能试验 椅、凳类稳定性GB/T 10357.2-1989、家具力学性能试验 椅、凳类强度和耐久性GB/T 10357.3-1989、家具 桌、椅、凳类主要尺寸GB/T 3326-1997合同协议等。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黑体" w:hAnsi="黑体" w:eastAsia="黑体" w:cs="黑体"/>
                <w:color w:val="000000"/>
                <w:spacing w:val="-1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中华人民共和国安全生产法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黑体" w:hAnsi="黑体" w:eastAsia="黑体" w:cs="黑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黑体" w:hAnsi="黑体" w:eastAsia="黑体" w:cs="黑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hAnsi="宋体"/>
                <w:szCs w:val="21"/>
                <w:highlight w:val="none"/>
              </w:rPr>
            </w:pPr>
            <w:r>
              <w:rPr>
                <w:rFonts w:hint="eastAsia" w:ascii="宋体" w:hAnsi="宋体"/>
                <w:szCs w:val="21"/>
                <w:highlight w:val="none"/>
                <w:lang w:val="en-US" w:eastAsia="zh-CN"/>
              </w:rPr>
              <w:t>工艺</w:t>
            </w:r>
            <w:r>
              <w:rPr>
                <w:rFonts w:hint="eastAsia" w:ascii="宋体" w:hAnsi="宋体"/>
                <w:szCs w:val="21"/>
                <w:highlight w:val="none"/>
                <w:lang w:eastAsia="zh-CN"/>
              </w:rPr>
              <w:t>流程</w:t>
            </w:r>
            <w:r>
              <w:rPr>
                <w:rFonts w:hint="eastAsia" w:ascii="宋体" w:hAnsi="宋体"/>
                <w:szCs w:val="21"/>
                <w:highlight w:val="none"/>
              </w:rPr>
              <w:t>：</w:t>
            </w:r>
          </w:p>
          <w:p>
            <w:pPr>
              <w:spacing w:line="360" w:lineRule="auto"/>
              <w:rPr>
                <w:rFonts w:hint="eastAsia" w:ascii="宋体" w:hAnsi="宋体" w:eastAsia="宋体" w:cs="Times New Roman"/>
                <w:szCs w:val="21"/>
                <w:highlight w:val="none"/>
              </w:rPr>
            </w:pPr>
            <w:r>
              <w:rPr>
                <w:rFonts w:hint="eastAsia"/>
                <w:szCs w:val="21"/>
              </w:rPr>
              <w:t xml:space="preserve"> </w:t>
            </w:r>
            <w:r>
              <w:t>办公家具的</w:t>
            </w:r>
            <w:r>
              <w:rPr>
                <w:rFonts w:hint="eastAsia"/>
                <w:lang w:val="en-US" w:eastAsia="zh-CN"/>
              </w:rPr>
              <w:t>生产流程：配料</w:t>
            </w:r>
            <w:r>
              <w:rPr>
                <w:rFonts w:hint="default" w:ascii="Arial" w:hAnsi="Arial" w:cs="Arial"/>
                <w:lang w:val="en-US" w:eastAsia="zh-CN"/>
              </w:rPr>
              <w:t>→</w:t>
            </w:r>
            <w:r>
              <w:rPr>
                <w:rFonts w:hint="eastAsia" w:ascii="Arial" w:hAnsi="Arial" w:cs="Arial"/>
                <w:lang w:val="en-US" w:eastAsia="zh-CN"/>
              </w:rPr>
              <w:t>组装（部分试装，在客户处组装）</w:t>
            </w:r>
            <w:r>
              <w:rPr>
                <w:rFonts w:hint="default" w:ascii="Arial" w:hAnsi="Arial" w:cs="Arial"/>
                <w:lang w:val="en-US" w:eastAsia="zh-CN"/>
              </w:rPr>
              <w:t>→</w:t>
            </w:r>
            <w:r>
              <w:rPr>
                <w:rFonts w:hint="eastAsia" w:ascii="Arial" w:hAnsi="Arial" w:cs="Arial"/>
                <w:lang w:val="en-US" w:eastAsia="zh-CN"/>
              </w:rPr>
              <w:t>检验</w:t>
            </w:r>
            <w:r>
              <w:rPr>
                <w:rFonts w:hint="default" w:ascii="Arial" w:hAnsi="Arial" w:cs="Arial"/>
                <w:lang w:val="en-US" w:eastAsia="zh-CN"/>
              </w:rPr>
              <w:t>→</w:t>
            </w:r>
            <w:r>
              <w:rPr>
                <w:rFonts w:hint="eastAsia" w:ascii="Arial" w:hAnsi="Arial" w:cs="Arial"/>
                <w:lang w:val="en-US" w:eastAsia="zh-CN"/>
              </w:rPr>
              <w:t>包装入库</w:t>
            </w:r>
          </w:p>
          <w:p>
            <w:pPr>
              <w:rPr>
                <w:rFonts w:hint="default" w:ascii="宋体" w:eastAsia="宋体"/>
                <w:color w:val="000000"/>
                <w:sz w:val="20"/>
                <w:szCs w:val="20"/>
                <w:lang w:val="en-US" w:eastAsia="zh-CN"/>
              </w:rPr>
            </w:pPr>
            <w:r>
              <w:rPr>
                <w:rFonts w:hint="eastAsia" w:ascii="宋体" w:hAnsi="宋体" w:eastAsia="宋体" w:cs="Times New Roman"/>
                <w:szCs w:val="21"/>
                <w:highlight w:val="none"/>
              </w:rPr>
              <w:t>需确认过程：</w:t>
            </w:r>
            <w:r>
              <w:rPr>
                <w:rFonts w:hint="eastAsia" w:ascii="宋体" w:hAnsi="宋体" w:eastAsia="宋体" w:cs="Times New Roman"/>
                <w:szCs w:val="21"/>
                <w:highlight w:val="none"/>
                <w:lang w:val="en-US" w:eastAsia="zh-CN"/>
              </w:rPr>
              <w:t>无</w:t>
            </w:r>
            <w:r>
              <w:rPr>
                <w:rFonts w:hint="eastAsia" w:ascii="宋体" w:hAnsi="宋体" w:eastAsia="宋体" w:cs="Times New Roman"/>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w:t>
            </w:r>
            <w:r>
              <w:rPr>
                <w:rFonts w:hint="eastAsia" w:ascii="宋体" w:hAnsi="宋体"/>
                <w:color w:val="000000"/>
                <w:spacing w:val="-10"/>
                <w:sz w:val="20"/>
                <w:szCs w:val="20"/>
                <w:highlight w:val="none"/>
              </w:rPr>
              <w:t>备：</w:t>
            </w:r>
            <w:r>
              <w:rPr>
                <w:rFonts w:hint="eastAsia" w:ascii="宋体" w:hAnsi="宋体" w:cs="宋体"/>
                <w:sz w:val="21"/>
                <w:szCs w:val="21"/>
                <w:highlight w:val="none"/>
              </w:rPr>
              <w:t>精密推台锯、冷压机、封边机、木工带锯机多排多轴钻床</w:t>
            </w:r>
            <w:r>
              <w:rPr>
                <w:rFonts w:hint="eastAsia" w:ascii="宋体" w:hAnsi="宋体" w:cs="宋体"/>
                <w:szCs w:val="21"/>
                <w:highlight w:val="none"/>
                <w:lang w:val="en-US" w:eastAsia="zh-CN"/>
              </w:rPr>
              <w:t>电脑及</w:t>
            </w:r>
            <w:r>
              <w:rPr>
                <w:rFonts w:hint="eastAsia" w:ascii="宋体" w:hAnsi="宋体" w:cs="宋体"/>
                <w:szCs w:val="21"/>
                <w:highlight w:val="none"/>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黑体" w:hAnsi="黑体" w:eastAsia="黑体" w:cs="黑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tabs>
                <w:tab w:val="center" w:pos="3605"/>
              </w:tabs>
              <w:rPr>
                <w:rFonts w:hint="eastAsia" w:ascii="宋体" w:eastAsia="宋体"/>
                <w:color w:val="000000"/>
                <w:sz w:val="20"/>
                <w:szCs w:val="20"/>
                <w:highlight w:val="none"/>
                <w:lang w:eastAsia="zh-CN"/>
              </w:rPr>
            </w:pPr>
            <w:r>
              <w:rPr>
                <w:rFonts w:hint="eastAsia" w:ascii="宋体" w:hAnsi="宋体"/>
                <w:color w:val="000000"/>
                <w:sz w:val="20"/>
                <w:szCs w:val="20"/>
                <w:highlight w:val="none"/>
              </w:rPr>
              <w:t>特种设备是否按规定检定</w:t>
            </w:r>
            <w:r>
              <w:rPr>
                <w:rFonts w:hint="eastAsia" w:ascii="黑体" w:hAnsi="黑体" w:eastAsia="黑体" w:cs="黑体"/>
                <w:color w:val="000000"/>
                <w:spacing w:val="-10"/>
                <w:sz w:val="20"/>
                <w:szCs w:val="20"/>
                <w:highlight w:val="none"/>
              </w:rPr>
              <w:t>■</w:t>
            </w:r>
            <w:r>
              <w:rPr>
                <w:rFonts w:hint="eastAsia" w:ascii="宋体" w:hAnsi="宋体"/>
                <w:color w:val="000000"/>
                <w:sz w:val="20"/>
                <w:szCs w:val="20"/>
                <w:highlight w:val="none"/>
              </w:rPr>
              <w:t>是□否</w:t>
            </w:r>
            <w:r>
              <w:rPr>
                <w:rFonts w:hint="eastAsia" w:ascii="宋体" w:hAnsi="宋体"/>
                <w:color w:val="000000"/>
                <w:sz w:val="20"/>
                <w:szCs w:val="20"/>
                <w:highlight w:val="none"/>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szCs w:val="21"/>
                <w:highlight w:val="none"/>
              </w:rPr>
              <w:t>，采取以供方出具的产品检测报告为验收依据，进行核验，最终产品质量由顾客确认，暂未配置检测设备</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黑体" w:hAnsi="黑体" w:eastAsia="黑体" w:cs="黑体"/>
                <w:color w:val="000000"/>
                <w:spacing w:val="-10"/>
                <w:sz w:val="20"/>
                <w:szCs w:val="20"/>
                <w:highlight w:val="none"/>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eastAsia="zh-CN"/>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sz w:val="20"/>
                <w:szCs w:val="20"/>
              </w:rPr>
              <w:t>潜在火灾、固废排放</w:t>
            </w:r>
            <w:r>
              <w:rPr>
                <w:rFonts w:hint="eastAsia" w:ascii="宋体"/>
                <w:sz w:val="20"/>
                <w:szCs w:val="20"/>
                <w:lang w:eastAsia="zh-CN"/>
              </w:rPr>
              <w:t>、</w:t>
            </w:r>
            <w:r>
              <w:rPr>
                <w:rFonts w:hint="eastAsia" w:ascii="宋体"/>
                <w:sz w:val="20"/>
                <w:szCs w:val="20"/>
                <w:lang w:val="en-US" w:eastAsia="zh-CN"/>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Times New Roman" w:eastAsia="宋体" w:cs="Times New Roman"/>
                <w:color w:val="000000"/>
                <w:sz w:val="20"/>
                <w:szCs w:val="20"/>
              </w:rPr>
              <w:t>有（1）环境因素识别与评价控制程序</w:t>
            </w:r>
            <w:r>
              <w:rPr>
                <w:rFonts w:hint="eastAsia" w:ascii="宋体" w:hAnsi="Times New Roman" w:eastAsia="宋体" w:cs="Times New Roman"/>
                <w:color w:val="000000"/>
                <w:sz w:val="20"/>
                <w:szCs w:val="20"/>
                <w:lang w:val="en-US" w:eastAsia="zh-CN"/>
              </w:rPr>
              <w:t>；</w:t>
            </w:r>
            <w:r>
              <w:rPr>
                <w:rFonts w:hint="eastAsia" w:ascii="宋体" w:hAnsi="Times New Roman" w:eastAsia="宋体" w:cs="Times New Roman"/>
                <w:color w:val="000000"/>
                <w:sz w:val="20"/>
                <w:szCs w:val="20"/>
              </w:rPr>
              <w:t>（2）环境运行控制程序；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sz w:val="20"/>
                <w:szCs w:val="20"/>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sz w:val="20"/>
                <w:szCs w:val="20"/>
              </w:rPr>
              <w:t>火灾、触电</w:t>
            </w:r>
            <w:r>
              <w:rPr>
                <w:rFonts w:hint="eastAsia" w:ascii="宋体"/>
                <w:sz w:val="20"/>
                <w:szCs w:val="20"/>
                <w:lang w:eastAsia="zh-CN"/>
              </w:rPr>
              <w:t>、</w:t>
            </w:r>
            <w:r>
              <w:rPr>
                <w:rFonts w:hint="eastAsia" w:ascii="宋体"/>
                <w:sz w:val="20"/>
                <w:szCs w:val="20"/>
                <w:lang w:val="en-US" w:eastAsia="zh-CN"/>
              </w:rPr>
              <w:t>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sz w:val="20"/>
                <w:szCs w:val="20"/>
              </w:rPr>
              <w:t>有（1）</w:t>
            </w:r>
            <w:r>
              <w:rPr>
                <w:rFonts w:hint="eastAsia" w:ascii="宋体" w:hAnsi="Times New Roman" w:eastAsia="宋体" w:cs="Times New Roman"/>
                <w:color w:val="000000"/>
                <w:sz w:val="20"/>
                <w:szCs w:val="20"/>
              </w:rPr>
              <w:t>危险源辨识、风险评价和风险控制程序职业健康安全运行控制程序；（2）职业健康安全运行控制程序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黑体" w:hAnsi="黑体" w:eastAsia="黑体" w:cs="黑体"/>
                <w:color w:val="000000"/>
                <w:spacing w:val="-10"/>
                <w:sz w:val="20"/>
                <w:szCs w:val="20"/>
              </w:rPr>
              <w:t>■</w:t>
            </w:r>
            <w:r>
              <w:rPr>
                <w:rFonts w:hint="eastAsia" w:ascii="宋体"/>
                <w:color w:val="000000"/>
                <w:sz w:val="20"/>
                <w:szCs w:val="20"/>
              </w:rPr>
              <w:t>是□否，识别是否充分</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黑体" w:hAnsi="黑体" w:eastAsia="黑体" w:cs="黑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黑体" w:hAnsi="黑体" w:eastAsia="黑体" w:cs="黑体"/>
                <w:color w:val="000000"/>
                <w:spacing w:val="-10"/>
                <w:sz w:val="20"/>
                <w:szCs w:val="20"/>
              </w:rPr>
              <w:t>■</w:t>
            </w:r>
            <w:r>
              <w:rPr>
                <w:rFonts w:hint="eastAsia" w:ascii="宋体"/>
                <w:color w:val="000000"/>
                <w:sz w:val="20"/>
                <w:szCs w:val="20"/>
              </w:rPr>
              <w:t>是□否</w:t>
            </w:r>
            <w:r>
              <w:rPr>
                <w:rFonts w:hint="eastAsia" w:ascii="黑体" w:hAnsi="黑体" w:eastAsia="黑体" w:cs="黑体"/>
                <w:color w:val="000000"/>
                <w:spacing w:val="-1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黑体" w:hAnsi="黑体" w:eastAsia="黑体" w:cs="黑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360" w:lineRule="auto"/>
              <w:rPr>
                <w:rFonts w:ascii="宋体"/>
                <w:b/>
                <w:color w:val="000000"/>
                <w:sz w:val="20"/>
                <w:szCs w:val="20"/>
              </w:rPr>
            </w:pPr>
            <w:r>
              <w:rPr>
                <w:rFonts w:hint="eastAsia" w:ascii="宋体" w:hAnsi="宋体"/>
                <w:b/>
                <w:color w:val="000000"/>
                <w:sz w:val="20"/>
                <w:szCs w:val="20"/>
              </w:rPr>
              <w:t>重点审核过程：产品和服务的控制、顾客满意；产品和服务放行、不合格产品和服务</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行政部、市场部、</w:t>
            </w:r>
            <w:r>
              <w:rPr>
                <w:rFonts w:hint="eastAsia" w:ascii="宋体" w:hAnsi="宋体"/>
                <w:b/>
                <w:color w:val="000000"/>
                <w:sz w:val="20"/>
                <w:szCs w:val="20"/>
                <w:lang w:val="en-US" w:eastAsia="zh-CN"/>
              </w:rPr>
              <w:t>生产部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w:t>
            </w:r>
            <w:bookmarkStart w:id="25" w:name="_GoBack"/>
            <w:bookmarkEnd w:id="25"/>
            <w:r>
              <w:rPr>
                <w:rFonts w:hint="eastAsia" w:ascii="宋体" w:hAnsi="宋体"/>
                <w:szCs w:val="21"/>
              </w:rPr>
              <w:t>日</w:t>
            </w:r>
            <w:r>
              <w:rPr>
                <w:rFonts w:hint="eastAsia"/>
                <w:szCs w:val="21"/>
              </w:rPr>
              <w:t>进行了内部审核。</w:t>
            </w:r>
          </w:p>
          <w:p>
            <w:pPr>
              <w:spacing w:line="260" w:lineRule="exact"/>
              <w:rPr>
                <w:rFonts w:hint="eastAsia" w:ascii="宋体" w:eastAsia="宋体"/>
                <w:b/>
                <w:color w:val="000000"/>
                <w:sz w:val="20"/>
                <w:szCs w:val="20"/>
                <w:lang w:val="en-US" w:eastAsia="zh-CN"/>
              </w:rPr>
            </w:pPr>
            <w:r>
              <w:rPr>
                <w:rFonts w:hint="eastAsia"/>
                <w:szCs w:val="21"/>
              </w:rPr>
              <w:t>内部审核组由：组长A：</w:t>
            </w:r>
            <w:r>
              <w:rPr>
                <w:rFonts w:hint="eastAsia" w:ascii="宋体" w:hAnsi="宋体"/>
                <w:szCs w:val="21"/>
                <w:lang w:val="en-US" w:eastAsia="zh-CN"/>
              </w:rPr>
              <w:t>罗梅</w:t>
            </w:r>
            <w:r>
              <w:rPr>
                <w:rFonts w:hint="eastAsia" w:ascii="宋体" w:hAnsi="宋体"/>
                <w:szCs w:val="21"/>
                <w:lang w:eastAsia="zh-CN"/>
              </w:rPr>
              <w:t xml:space="preserve"> </w:t>
            </w:r>
            <w:r>
              <w:rPr>
                <w:rFonts w:hint="eastAsia"/>
                <w:szCs w:val="21"/>
              </w:rPr>
              <w:t xml:space="preserve"> 组员B：</w:t>
            </w:r>
            <w:r>
              <w:rPr>
                <w:rFonts w:hint="eastAsia"/>
                <w:szCs w:val="21"/>
                <w:lang w:eastAsia="zh-CN"/>
              </w:rPr>
              <w:t>胡良平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numPr>
                <w:ilvl w:val="0"/>
                <w:numId w:val="0"/>
              </w:numPr>
              <w:spacing w:line="340" w:lineRule="exact"/>
              <w:rPr>
                <w:rFonts w:ascii="仿宋" w:hAnsi="仿宋" w:eastAsia="仿宋"/>
                <w:sz w:val="24"/>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spacing w:line="260" w:lineRule="exact"/>
              <w:rPr>
                <w:rFonts w:ascii="宋体"/>
                <w:b/>
                <w:color w:val="000000"/>
                <w:sz w:val="20"/>
                <w:szCs w:val="20"/>
              </w:rPr>
            </w:pPr>
            <w:r>
              <w:rPr>
                <w:rFonts w:hint="eastAsia" w:ascii="仿宋" w:hAnsi="仿宋" w:eastAsia="仿宋"/>
                <w:sz w:val="24"/>
                <w:lang w:eastAsia="zh-CN"/>
              </w:rPr>
              <w:t>（</w:t>
            </w:r>
            <w:r>
              <w:rPr>
                <w:rFonts w:hint="eastAsia" w:ascii="仿宋" w:hAnsi="仿宋" w:eastAsia="仿宋"/>
                <w:sz w:val="24"/>
                <w:lang w:val="en-US" w:eastAsia="zh-CN"/>
              </w:rPr>
              <w:t>2</w:t>
            </w:r>
            <w:r>
              <w:rPr>
                <w:rFonts w:hint="eastAsia" w:ascii="仿宋" w:hAnsi="仿宋" w:eastAsia="仿宋"/>
                <w:sz w:val="24"/>
                <w:lang w:eastAsia="zh-CN"/>
              </w:rPr>
              <w:t>）</w:t>
            </w: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rPr>
              <w:t xml:space="preserve">GB/T </w:t>
            </w:r>
            <w:r>
              <w:rPr>
                <w:rFonts w:hint="eastAsia" w:ascii="宋体" w:hAnsi="宋体"/>
                <w:lang w:val="en-US" w:eastAsia="zh-CN"/>
              </w:rPr>
              <w:t>45</w:t>
            </w:r>
            <w:r>
              <w:rPr>
                <w:rFonts w:hint="eastAsia" w:ascii="宋体" w:hAnsi="宋体"/>
              </w:rPr>
              <w:t>001-20</w:t>
            </w:r>
            <w:r>
              <w:rPr>
                <w:rFonts w:hint="eastAsia" w:ascii="宋体" w:hAnsi="宋体"/>
                <w:lang w:val="en-US" w:eastAsia="zh-CN"/>
              </w:rPr>
              <w:t>20</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4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240" w:lineRule="auto"/>
              <w:rPr>
                <w:rFonts w:hint="eastAsia" w:ascii="Times New Roman" w:hAnsi="Times New Roman" w:cs="Times New Roman"/>
                <w:szCs w:val="21"/>
              </w:rPr>
            </w:pPr>
            <w:r>
              <w:rPr>
                <w:rFonts w:hint="eastAsia" w:ascii="Times New Roman" w:hAnsi="Times New Roman" w:cs="Times New Roman"/>
                <w:szCs w:val="21"/>
              </w:rPr>
              <w:t>本次内审对标准体系文件管理手册、体系文件进行了全面检查，通过审核可以看出管理体系已基本进入了正常状态，但仍存在一些问题，需要完善加强各类人员的培训。</w:t>
            </w:r>
          </w:p>
          <w:p>
            <w:pPr>
              <w:spacing w:line="240" w:lineRule="auto"/>
              <w:rPr>
                <w:rFonts w:hint="eastAsia" w:ascii="Times New Roman" w:hAnsi="Times New Roman" w:cs="Times New Roman"/>
                <w:szCs w:val="21"/>
              </w:rPr>
            </w:pPr>
            <w:r>
              <w:rPr>
                <w:rFonts w:hint="eastAsia" w:ascii="Times New Roman" w:hAnsi="Times New Roman" w:cs="Times New Roman"/>
                <w:szCs w:val="21"/>
              </w:rPr>
              <w:t>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ascii="Times New Roman" w:hAnsi="Times New Roman" w:cs="Times New Roman"/>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szCs w:val="21"/>
              </w:rPr>
              <w:t>建立有《管理评审制度》，于2021年</w:t>
            </w:r>
            <w:r>
              <w:rPr>
                <w:rFonts w:hint="eastAsia"/>
                <w:szCs w:val="21"/>
                <w:lang w:val="en-US" w:eastAsia="zh-CN"/>
              </w:rPr>
              <w:t>4</w:t>
            </w:r>
            <w:r>
              <w:rPr>
                <w:rFonts w:hint="eastAsia"/>
                <w:szCs w:val="21"/>
              </w:rPr>
              <w:t>月</w:t>
            </w:r>
            <w:r>
              <w:rPr>
                <w:rFonts w:hint="eastAsia"/>
                <w:szCs w:val="21"/>
                <w:lang w:val="en-US" w:eastAsia="zh-CN"/>
              </w:rPr>
              <w:t>20</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r>
              <w:rPr>
                <w:rFonts w:hint="eastAsia"/>
                <w:szCs w:val="21"/>
              </w:rPr>
              <w:t>本公司的管理体系与标准的要求一致，体系策划是充分的，体系文件与公司目前的现状相一致，是适宜，体系经过现阶段的运行是有效的。</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黑体" w:hAnsi="黑体" w:eastAsia="黑体" w:cs="黑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黑体" w:hAnsi="黑体" w:eastAsia="黑体" w:cs="黑体"/>
                <w:color w:val="000000"/>
                <w:spacing w:val="-10"/>
                <w:sz w:val="20"/>
                <w:szCs w:val="20"/>
              </w:rPr>
              <w:t>■</w:t>
            </w:r>
            <w:r>
              <w:rPr>
                <w:rFonts w:ascii="宋体" w:hAnsi="宋体"/>
                <w:b/>
                <w:color w:val="000000"/>
                <w:sz w:val="20"/>
                <w:szCs w:val="20"/>
              </w:rPr>
              <w:t>QMS /</w:t>
            </w:r>
            <w:r>
              <w:rPr>
                <w:rFonts w:hint="eastAsia" w:ascii="黑体" w:hAnsi="黑体" w:eastAsia="黑体" w:cs="黑体"/>
                <w:color w:val="000000"/>
                <w:spacing w:val="-10"/>
                <w:sz w:val="20"/>
                <w:szCs w:val="20"/>
              </w:rPr>
              <w:t>■</w:t>
            </w:r>
            <w:r>
              <w:rPr>
                <w:rFonts w:ascii="宋体" w:hAnsi="宋体"/>
                <w:b/>
                <w:color w:val="000000"/>
                <w:sz w:val="20"/>
                <w:szCs w:val="20"/>
              </w:rPr>
              <w:t>EMS/</w:t>
            </w:r>
            <w:r>
              <w:rPr>
                <w:rFonts w:hint="eastAsia" w:ascii="黑体" w:hAnsi="黑体" w:eastAsia="黑体" w:cs="黑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0" w:firstLineChars="100"/>
        <w:rPr>
          <w:rFonts w:ascii="宋体"/>
          <w:b/>
          <w:color w:val="000000"/>
          <w:sz w:val="20"/>
          <w:szCs w:val="20"/>
        </w:rPr>
      </w:pPr>
      <w:r>
        <w:rPr>
          <w:rFonts w:hint="eastAsia" w:ascii="黑体" w:hAnsi="黑体" w:eastAsia="黑体" w:cs="黑体"/>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jc w:val="both"/>
        <w:rPr>
          <w:rFonts w:hint="default" w:ascii="宋体" w:hAnsi="宋体" w:eastAsia="宋体" w:cs="Times New Roman"/>
          <w:szCs w:val="21"/>
          <w:lang w:val="en-US" w:eastAsia="zh-CN"/>
        </w:rPr>
      </w:pPr>
      <w:r>
        <w:rPr>
          <w:rFonts w:ascii="宋体" w:hAnsi="宋体"/>
          <w:b/>
          <w:color w:val="000000"/>
          <w:sz w:val="20"/>
          <w:szCs w:val="20"/>
        </w:rPr>
        <w:t>QMS:</w:t>
      </w:r>
      <w:r>
        <w:rPr>
          <w:rFonts w:hint="eastAsia" w:ascii="宋体" w:hAnsi="宋体" w:eastAsia="宋体" w:cs="Times New Roman"/>
          <w:b/>
          <w:color w:val="000000"/>
          <w:sz w:val="20"/>
          <w:szCs w:val="20"/>
          <w:u w:val="single"/>
          <w:lang w:val="en-US" w:eastAsia="zh-CN"/>
        </w:rPr>
        <w:t>办公家具的组装及销售。</w:t>
      </w:r>
    </w:p>
    <w:p>
      <w:pPr>
        <w:rPr>
          <w:rFonts w:hint="eastAsia" w:ascii="宋体" w:hAnsi="宋体"/>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eastAsia="宋体" w:cs="Times New Roman"/>
          <w:b/>
          <w:color w:val="000000"/>
          <w:sz w:val="20"/>
          <w:szCs w:val="20"/>
          <w:u w:val="single"/>
          <w:lang w:val="en-US" w:eastAsia="zh-CN"/>
        </w:rPr>
        <w:t>办公家具的组装及销售所涉及场所的相关环境管理活动。</w:t>
      </w:r>
    </w:p>
    <w:p>
      <w:pPr>
        <w:spacing w:line="300" w:lineRule="auto"/>
        <w:rPr>
          <w:rFonts w:hint="eastAsia" w:ascii="宋体" w:eastAsia="宋体"/>
          <w:b/>
          <w:color w:val="000000"/>
          <w:sz w:val="20"/>
          <w:szCs w:val="20"/>
          <w:u w:val="single"/>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eastAsia="宋体" w:cs="Times New Roman"/>
          <w:b/>
          <w:color w:val="000000"/>
          <w:sz w:val="20"/>
          <w:szCs w:val="20"/>
          <w:u w:val="single"/>
          <w:lang w:val="en-US" w:eastAsia="zh-CN"/>
        </w:rPr>
        <w:t>办公家具的组装及销售所涉及场所的相关职业健康安全管理活动。</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1732280</wp:posOffset>
            </wp:positionH>
            <wp:positionV relativeFrom="paragraph">
              <wp:posOffset>235585</wp:posOffset>
            </wp:positionV>
            <wp:extent cx="495300" cy="5130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95300" cy="51308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sz w:val="22"/>
          <w:szCs w:val="22"/>
        </w:rPr>
        <w:drawing>
          <wp:anchor distT="0" distB="0" distL="114300" distR="114300" simplePos="0" relativeHeight="251666432" behindDoc="0" locked="0" layoutInCell="1" allowOverlap="1">
            <wp:simplePos x="0" y="0"/>
            <wp:positionH relativeFrom="column">
              <wp:posOffset>3419475</wp:posOffset>
            </wp:positionH>
            <wp:positionV relativeFrom="paragraph">
              <wp:posOffset>52705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2447290</wp:posOffset>
            </wp:positionH>
            <wp:positionV relativeFrom="paragraph">
              <wp:posOffset>144780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1734185</wp:posOffset>
            </wp:positionH>
            <wp:positionV relativeFrom="paragraph">
              <wp:posOffset>128270</wp:posOffset>
            </wp:positionV>
            <wp:extent cx="683895" cy="312420"/>
            <wp:effectExtent l="0" t="0" r="1905"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9"/>
                    <a:stretch>
                      <a:fillRect/>
                    </a:stretch>
                  </pic:blipFill>
                  <pic:spPr>
                    <a:xfrm>
                      <a:off x="0" y="0"/>
                      <a:ext cx="683895" cy="31242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四川佳鑫家具有限公司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551180</wp:posOffset>
                  </wp:positionH>
                  <wp:positionV relativeFrom="paragraph">
                    <wp:posOffset>171450</wp:posOffset>
                  </wp:positionV>
                  <wp:extent cx="495300" cy="513080"/>
                  <wp:effectExtent l="0" t="0" r="0" b="762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6" cstate="print"/>
                          <a:srcRect/>
                          <a:stretch>
                            <a:fillRect/>
                          </a:stretch>
                        </pic:blipFill>
                        <pic:spPr>
                          <a:xfrm>
                            <a:off x="0" y="0"/>
                            <a:ext cx="495300" cy="513080"/>
                          </a:xfrm>
                          <a:prstGeom prst="rect">
                            <a:avLst/>
                          </a:prstGeom>
                          <a:noFill/>
                          <a:ln w="9525">
                            <a:noFill/>
                            <a:miter lim="800000"/>
                            <a:headEnd/>
                            <a:tailEnd/>
                          </a:ln>
                        </pic:spPr>
                      </pic:pic>
                    </a:graphicData>
                  </a:graphic>
                </wp:anchor>
              </w:drawing>
            </w:r>
            <w:r>
              <w:rPr>
                <w:rFonts w:hint="eastAsia" w:ascii="黑体" w:hAnsi="黑体" w:eastAsia="黑体" w:cs="黑体"/>
                <w:b/>
                <w:color w:val="000000"/>
                <w:spacing w:val="-10"/>
                <w:szCs w:val="21"/>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0128" w:type="dxa"/>
            <w:gridSpan w:val="4"/>
          </w:tcPr>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对一阶段现场审核问题整改结果的验证结论及推荐意见：</w:t>
            </w:r>
          </w:p>
          <w:p>
            <w:pPr>
              <w:spacing w:line="280" w:lineRule="exact"/>
              <w:rPr>
                <w:rFonts w:hint="eastAsia" w:ascii="Times New Roman" w:hAnsi="Times New Roman" w:eastAsia="宋体" w:cs="Times New Roman"/>
                <w:b/>
                <w:color w:val="000000"/>
                <w:spacing w:val="-10"/>
                <w:szCs w:val="21"/>
              </w:rPr>
            </w:pPr>
            <w:r>
              <w:rPr>
                <w:rFonts w:hint="eastAsia" w:ascii="Times New Roman" w:hAnsi="Times New Roman" w:eastAsia="宋体" w:cs="Times New Roman"/>
                <w:b/>
                <w:color w:val="000000"/>
                <w:spacing w:val="-10"/>
                <w:szCs w:val="21"/>
              </w:rPr>
              <w:t>□所有问题全部整改，并符合要求□未按期完成整改□整改后不符合要求，需重新整改.</w:t>
            </w:r>
          </w:p>
          <w:p>
            <w:pPr>
              <w:spacing w:line="280" w:lineRule="exact"/>
            </w:pPr>
            <w:r>
              <w:rPr>
                <w:rFonts w:hint="eastAsia" w:ascii="Times New Roman" w:hAnsi="Times New Roman" w:eastAsia="宋体" w:cs="Times New Roman"/>
                <w:b/>
                <w:color w:val="000000"/>
                <w:spacing w:val="-10"/>
                <w:szCs w:val="21"/>
              </w:rPr>
              <w:drawing>
                <wp:anchor distT="0" distB="0" distL="114300" distR="114300" simplePos="0" relativeHeight="251665408" behindDoc="0" locked="0" layoutInCell="1" allowOverlap="1">
                  <wp:simplePos x="0" y="0"/>
                  <wp:positionH relativeFrom="column">
                    <wp:posOffset>684530</wp:posOffset>
                  </wp:positionH>
                  <wp:positionV relativeFrom="paragraph">
                    <wp:posOffset>119380</wp:posOffset>
                  </wp:positionV>
                  <wp:extent cx="495300" cy="513080"/>
                  <wp:effectExtent l="0" t="0" r="0" b="762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6" cstate="print"/>
                          <a:srcRect/>
                          <a:stretch>
                            <a:fillRect/>
                          </a:stretch>
                        </pic:blipFill>
                        <pic:spPr>
                          <a:xfrm>
                            <a:off x="0" y="0"/>
                            <a:ext cx="495300" cy="513080"/>
                          </a:xfrm>
                          <a:prstGeom prst="rect">
                            <a:avLst/>
                          </a:prstGeom>
                          <a:noFill/>
                          <a:ln w="9525">
                            <a:noFill/>
                            <a:miter lim="800000"/>
                            <a:headEnd/>
                            <a:tailEnd/>
                          </a:ln>
                        </pic:spPr>
                      </pic:pic>
                    </a:graphicData>
                  </a:graphic>
                </wp:anchor>
              </w:drawing>
            </w:r>
            <w:r>
              <w:rPr>
                <w:rFonts w:hint="eastAsia" w:ascii="Times New Roman" w:hAnsi="Times New Roman" w:eastAsia="宋体" w:cs="Times New Roman"/>
                <w:b/>
                <w:color w:val="000000"/>
                <w:spacing w:val="-10"/>
                <w:szCs w:val="21"/>
              </w:rPr>
              <w:t>推荐意见：■可进行二阶段审核□需再次安排一阶段审核□不进入二阶段审核</w:t>
            </w:r>
            <w:r>
              <w:tab/>
            </w:r>
          </w:p>
          <w:p>
            <w:pPr>
              <w:spacing w:line="280" w:lineRule="exact"/>
              <w:rPr>
                <w:rFonts w:hint="eastAsia"/>
              </w:rPr>
            </w:pPr>
          </w:p>
          <w:p>
            <w:pPr>
              <w:spacing w:line="280" w:lineRule="exact"/>
            </w:pPr>
            <w:r>
              <w:rPr>
                <w:rFonts w:hint="eastAsia" w:ascii="Times New Roman" w:hAnsi="Times New Roman" w:eastAsia="宋体" w:cs="Times New Roman"/>
                <w:b/>
                <w:color w:val="000000"/>
                <w:sz w:val="22"/>
                <w:szCs w:val="22"/>
                <w:lang w:val="en-US" w:eastAsia="zh-CN"/>
              </w:rPr>
              <w:t xml:space="preserve">验证人： </w:t>
            </w:r>
            <w:r>
              <w:rPr>
                <w:rFonts w:hint="eastAsia"/>
                <w:lang w:val="en-US" w:eastAsia="zh-CN"/>
              </w:rPr>
              <w:t xml:space="preserve">               </w:t>
            </w:r>
            <w:r>
              <w:rPr>
                <w:rFonts w:hint="eastAsia" w:ascii="Times New Roman" w:hAnsi="Times New Roman" w:eastAsia="宋体" w:cs="Times New Roman"/>
                <w:b/>
                <w:color w:val="000000"/>
                <w:sz w:val="22"/>
                <w:szCs w:val="22"/>
                <w:lang w:val="en-US" w:eastAsia="zh-CN"/>
              </w:rPr>
              <w:t xml:space="preserve">    </w:t>
            </w:r>
            <w:r>
              <w:rPr>
                <w:rFonts w:hint="eastAsia" w:ascii="Times New Roman" w:hAnsi="Times New Roman" w:eastAsia="宋体" w:cs="Times New Roman"/>
                <w:b/>
                <w:color w:val="000000"/>
                <w:sz w:val="22"/>
                <w:szCs w:val="22"/>
              </w:rPr>
              <w:t>日期：</w:t>
            </w:r>
            <w:r>
              <w:rPr>
                <w:rFonts w:hint="eastAsia" w:ascii="Times New Roman" w:hAnsi="Times New Roman" w:eastAsia="宋体" w:cs="Times New Roman"/>
                <w:b/>
                <w:color w:val="000000"/>
                <w:sz w:val="22"/>
                <w:szCs w:val="22"/>
                <w:lang w:val="en-US" w:eastAsia="zh-CN"/>
              </w:rPr>
              <w:t>2021</w:t>
            </w:r>
            <w:r>
              <w:rPr>
                <w:rFonts w:hint="eastAsia" w:ascii="Times New Roman" w:hAnsi="Times New Roman" w:eastAsia="宋体" w:cs="Times New Roman"/>
                <w:b/>
                <w:color w:val="000000"/>
                <w:sz w:val="22"/>
                <w:szCs w:val="22"/>
              </w:rPr>
              <w:t>年</w:t>
            </w:r>
            <w:r>
              <w:rPr>
                <w:rFonts w:hint="eastAsia" w:ascii="Times New Roman" w:hAnsi="Times New Roman" w:eastAsia="宋体" w:cs="Times New Roman"/>
                <w:b/>
                <w:color w:val="000000"/>
                <w:sz w:val="22"/>
                <w:szCs w:val="22"/>
                <w:lang w:val="en-US" w:eastAsia="zh-CN"/>
              </w:rPr>
              <w:t>7</w:t>
            </w:r>
            <w:r>
              <w:rPr>
                <w:rFonts w:hint="eastAsia" w:ascii="Times New Roman" w:hAnsi="Times New Roman" w:eastAsia="宋体" w:cs="Times New Roman"/>
                <w:b/>
                <w:color w:val="000000"/>
                <w:sz w:val="22"/>
                <w:szCs w:val="22"/>
              </w:rPr>
              <w:t>月</w:t>
            </w:r>
            <w:r>
              <w:rPr>
                <w:rFonts w:hint="eastAsia" w:ascii="Times New Roman" w:hAnsi="Times New Roman" w:eastAsia="宋体" w:cs="Times New Roman"/>
                <w:b/>
                <w:color w:val="000000"/>
                <w:sz w:val="22"/>
                <w:szCs w:val="22"/>
                <w:lang w:val="en-US" w:eastAsia="zh-CN"/>
              </w:rPr>
              <w:t>12</w:t>
            </w:r>
            <w:r>
              <w:rPr>
                <w:rFonts w:hint="eastAsia" w:ascii="Times New Roman" w:hAnsi="Times New Roman" w:eastAsia="宋体" w:cs="Times New Roman"/>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45E28"/>
    <w:rsid w:val="504F3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2021-07-21T11:47:40Z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C3F438D06AFC4E6383432D98E4FE1AAE</vt:lpwstr>
  </property>
</Properties>
</file>