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tab w:relativeTo="margin" w:alignment="center" w:leader="none"/>
      </w: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pPr>
    </w:p>
    <w:p>
      <w:pPr>
        <w:pStyle w:val="7"/>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b w:val="0"/>
                <w:bCs w:val="0"/>
                <w:sz w:val="24"/>
                <w:szCs w:val="24"/>
              </w:rPr>
            </w:pPr>
            <w:r>
              <w:rPr>
                <w:rFonts w:hint="eastAsia"/>
                <w:b w:val="0"/>
                <w:bCs w:val="0"/>
                <w:sz w:val="24"/>
                <w:szCs w:val="24"/>
              </w:rPr>
              <w:t>过程与活动、</w:t>
            </w:r>
          </w:p>
          <w:p>
            <w:pPr>
              <w:jc w:val="center"/>
              <w:rPr>
                <w:b w:val="0"/>
                <w:bCs w:val="0"/>
              </w:rPr>
            </w:pPr>
            <w:r>
              <w:rPr>
                <w:rFonts w:hint="eastAsia"/>
                <w:b w:val="0"/>
                <w:bCs w:val="0"/>
                <w:sz w:val="24"/>
                <w:szCs w:val="24"/>
              </w:rPr>
              <w:t>抽样计划</w:t>
            </w:r>
          </w:p>
        </w:tc>
        <w:tc>
          <w:tcPr>
            <w:tcW w:w="960" w:type="dxa"/>
            <w:vMerge w:val="restart"/>
            <w:vAlign w:val="center"/>
          </w:tcPr>
          <w:p>
            <w:pPr>
              <w:rPr>
                <w:b w:val="0"/>
                <w:bCs w:val="0"/>
                <w:sz w:val="24"/>
                <w:szCs w:val="24"/>
              </w:rPr>
            </w:pPr>
            <w:r>
              <w:rPr>
                <w:rFonts w:hint="eastAsia"/>
                <w:b w:val="0"/>
                <w:bCs w:val="0"/>
                <w:sz w:val="24"/>
                <w:szCs w:val="24"/>
              </w:rPr>
              <w:t>涉及</w:t>
            </w:r>
          </w:p>
          <w:p>
            <w:pPr>
              <w:rPr>
                <w:b w:val="0"/>
                <w:bCs w:val="0"/>
              </w:rPr>
            </w:pPr>
            <w:r>
              <w:rPr>
                <w:rFonts w:hint="eastAsia"/>
                <w:b w:val="0"/>
                <w:bCs w:val="0"/>
                <w:sz w:val="24"/>
                <w:szCs w:val="24"/>
              </w:rPr>
              <w:t>条款</w:t>
            </w:r>
          </w:p>
        </w:tc>
        <w:tc>
          <w:tcPr>
            <w:tcW w:w="10004" w:type="dxa"/>
            <w:vAlign w:val="center"/>
          </w:tcPr>
          <w:p>
            <w:pPr>
              <w:rPr>
                <w:rFonts w:hint="default" w:eastAsia="宋体"/>
                <w:b w:val="0"/>
                <w:bCs w:val="0"/>
                <w:sz w:val="24"/>
                <w:szCs w:val="24"/>
                <w:lang w:val="en-US" w:eastAsia="zh-CN"/>
              </w:rPr>
            </w:pPr>
            <w:r>
              <w:rPr>
                <w:rFonts w:hint="eastAsia"/>
                <w:b w:val="0"/>
                <w:bCs w:val="0"/>
                <w:sz w:val="24"/>
                <w:szCs w:val="24"/>
              </w:rPr>
              <w:t>受审核部门：</w:t>
            </w:r>
            <w:r>
              <w:rPr>
                <w:rFonts w:hint="eastAsia"/>
                <w:b w:val="0"/>
                <w:bCs w:val="0"/>
                <w:sz w:val="24"/>
                <w:szCs w:val="24"/>
                <w:lang w:val="en-US" w:eastAsia="zh-CN"/>
              </w:rPr>
              <w:t xml:space="preserve">技术部  </w:t>
            </w:r>
            <w:r>
              <w:rPr>
                <w:rFonts w:hint="eastAsia"/>
                <w:b w:val="0"/>
                <w:bCs w:val="0"/>
                <w:sz w:val="24"/>
                <w:szCs w:val="24"/>
              </w:rPr>
              <w:t>主管领导</w:t>
            </w:r>
            <w:r>
              <w:rPr>
                <w:rFonts w:hint="eastAsia"/>
                <w:b w:val="0"/>
                <w:bCs w:val="0"/>
                <w:sz w:val="24"/>
                <w:szCs w:val="24"/>
                <w:lang w:eastAsia="zh-CN"/>
              </w:rPr>
              <w:t>：</w:t>
            </w:r>
            <w:r>
              <w:rPr>
                <w:rFonts w:hint="eastAsia" w:ascii="宋体" w:hAnsi="宋体"/>
                <w:szCs w:val="21"/>
                <w:lang w:val="zh-CN" w:eastAsia="zh-CN"/>
              </w:rPr>
              <w:t>邸玉峰</w:t>
            </w:r>
            <w:r>
              <w:rPr>
                <w:rFonts w:hint="eastAsia" w:ascii="宋体" w:hAnsi="宋体"/>
                <w:szCs w:val="21"/>
                <w:lang w:val="zh-CN" w:eastAsia="zh-CN"/>
              </w:rPr>
              <w:tab/>
            </w:r>
            <w:r>
              <w:rPr>
                <w:rFonts w:hint="eastAsia"/>
                <w:b w:val="0"/>
                <w:bCs w:val="0"/>
                <w:sz w:val="24"/>
                <w:szCs w:val="24"/>
                <w:lang w:val="en-US" w:eastAsia="zh-CN"/>
              </w:rPr>
              <w:t xml:space="preserve">  </w:t>
            </w:r>
            <w:r>
              <w:rPr>
                <w:rFonts w:hint="eastAsia"/>
                <w:b w:val="0"/>
                <w:bCs w:val="0"/>
                <w:sz w:val="24"/>
                <w:szCs w:val="24"/>
              </w:rPr>
              <w:t>陪同人员</w:t>
            </w:r>
            <w:r>
              <w:rPr>
                <w:rFonts w:hint="eastAsia"/>
                <w:b w:val="0"/>
                <w:bCs w:val="0"/>
                <w:sz w:val="24"/>
                <w:szCs w:val="24"/>
                <w:lang w:eastAsia="zh-CN"/>
              </w:rPr>
              <w:t>：</w:t>
            </w:r>
            <w:r>
              <w:rPr>
                <w:rFonts w:hint="eastAsia" w:ascii="宋体" w:hAnsi="宋体"/>
                <w:szCs w:val="21"/>
                <w:lang w:val="zh-CN" w:eastAsia="zh-CN"/>
              </w:rPr>
              <w:t>田理想</w:t>
            </w:r>
            <w:r>
              <w:rPr>
                <w:rFonts w:hint="eastAsia" w:ascii="宋体" w:hAnsi="宋体"/>
                <w:szCs w:val="21"/>
                <w:lang w:val="zh-CN" w:eastAsia="zh-CN"/>
              </w:rPr>
              <w:tab/>
            </w:r>
          </w:p>
        </w:tc>
        <w:tc>
          <w:tcPr>
            <w:tcW w:w="1585" w:type="dxa"/>
            <w:vMerge w:val="restart"/>
            <w:vAlign w:val="center"/>
          </w:tcPr>
          <w:p>
            <w:pPr>
              <w:rPr>
                <w:b w:val="0"/>
                <w:bCs w:val="0"/>
                <w:sz w:val="24"/>
                <w:szCs w:val="24"/>
              </w:rPr>
            </w:pPr>
            <w:r>
              <w:rPr>
                <w:rFonts w:hint="eastAsia"/>
                <w:b w:val="0"/>
                <w:bCs w:val="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b w:val="0"/>
                <w:bCs w:val="0"/>
              </w:rPr>
            </w:pPr>
          </w:p>
        </w:tc>
        <w:tc>
          <w:tcPr>
            <w:tcW w:w="960" w:type="dxa"/>
            <w:vMerge w:val="continue"/>
            <w:vAlign w:val="center"/>
          </w:tcPr>
          <w:p>
            <w:pPr>
              <w:rPr>
                <w:b w:val="0"/>
                <w:bCs w:val="0"/>
              </w:rPr>
            </w:pPr>
          </w:p>
        </w:tc>
        <w:tc>
          <w:tcPr>
            <w:tcW w:w="10004" w:type="dxa"/>
            <w:vAlign w:val="center"/>
          </w:tcPr>
          <w:p>
            <w:pPr>
              <w:spacing w:before="120"/>
              <w:rPr>
                <w:rFonts w:hint="default" w:eastAsia="宋体"/>
                <w:b w:val="0"/>
                <w:bCs w:val="0"/>
                <w:lang w:val="en-US" w:eastAsia="zh-CN"/>
              </w:rPr>
            </w:pPr>
            <w:r>
              <w:rPr>
                <w:rFonts w:hint="eastAsia"/>
                <w:b w:val="0"/>
                <w:bCs w:val="0"/>
                <w:sz w:val="24"/>
                <w:szCs w:val="24"/>
              </w:rPr>
              <w:t>审核员：</w:t>
            </w:r>
            <w:r>
              <w:rPr>
                <w:rFonts w:hint="eastAsia"/>
                <w:b w:val="0"/>
                <w:bCs w:val="0"/>
                <w:sz w:val="24"/>
                <w:szCs w:val="24"/>
                <w:lang w:eastAsia="zh-CN"/>
              </w:rPr>
              <w:t>李京田</w:t>
            </w:r>
            <w:r>
              <w:rPr>
                <w:rFonts w:hint="eastAsia"/>
                <w:b w:val="0"/>
                <w:bCs w:val="0"/>
                <w:sz w:val="24"/>
                <w:szCs w:val="24"/>
                <w:lang w:val="en-US" w:eastAsia="zh-CN"/>
              </w:rPr>
              <w:t xml:space="preserve">  </w:t>
            </w:r>
            <w:r>
              <w:rPr>
                <w:rFonts w:hint="eastAsia"/>
                <w:sz w:val="18"/>
                <w:szCs w:val="18"/>
              </w:rPr>
              <w:t>李建军</w:t>
            </w:r>
            <w:r>
              <w:rPr>
                <w:rFonts w:hint="eastAsia"/>
                <w:sz w:val="18"/>
                <w:szCs w:val="18"/>
                <w:lang w:val="en-US" w:eastAsia="zh-CN"/>
              </w:rPr>
              <w:t xml:space="preserve">  </w:t>
            </w:r>
            <w:r>
              <w:rPr>
                <w:rFonts w:hint="eastAsia"/>
                <w:b w:val="0"/>
                <w:bCs w:val="0"/>
                <w:sz w:val="24"/>
                <w:szCs w:val="24"/>
                <w:lang w:val="en-US" w:eastAsia="zh-CN"/>
              </w:rPr>
              <w:t xml:space="preserve">  </w:t>
            </w:r>
            <w:r>
              <w:rPr>
                <w:rFonts w:hint="eastAsia"/>
                <w:b w:val="0"/>
                <w:bCs w:val="0"/>
                <w:sz w:val="24"/>
                <w:szCs w:val="24"/>
              </w:rPr>
              <w:t>审核时间：</w:t>
            </w:r>
            <w:r>
              <w:rPr>
                <w:rFonts w:hint="eastAsia"/>
                <w:b w:val="0"/>
                <w:bCs w:val="0"/>
                <w:sz w:val="24"/>
                <w:szCs w:val="24"/>
                <w:lang w:val="en-US" w:eastAsia="zh-CN"/>
              </w:rPr>
              <w:t>2021.7.12</w:t>
            </w:r>
          </w:p>
        </w:tc>
        <w:tc>
          <w:tcPr>
            <w:tcW w:w="1585" w:type="dxa"/>
            <w:vMerge w:val="continue"/>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b w:val="0"/>
                <w:bCs w:val="0"/>
              </w:rPr>
            </w:pPr>
          </w:p>
        </w:tc>
        <w:tc>
          <w:tcPr>
            <w:tcW w:w="960" w:type="dxa"/>
            <w:vMerge w:val="continue"/>
            <w:vAlign w:val="center"/>
          </w:tcPr>
          <w:p>
            <w:pPr>
              <w:rPr>
                <w:b w:val="0"/>
                <w:bCs w:val="0"/>
              </w:rPr>
            </w:pPr>
          </w:p>
        </w:tc>
        <w:tc>
          <w:tcPr>
            <w:tcW w:w="10004" w:type="dxa"/>
            <w:vAlign w:val="center"/>
          </w:tcPr>
          <w:p>
            <w:pPr>
              <w:rPr>
                <w:rFonts w:ascii="宋体" w:hAnsi="宋体"/>
                <w:b w:val="0"/>
                <w:bCs w:val="0"/>
                <w:sz w:val="18"/>
              </w:rPr>
            </w:pPr>
            <w:r>
              <w:rPr>
                <w:rFonts w:hint="eastAsia"/>
                <w:b w:val="0"/>
                <w:bCs w:val="0"/>
                <w:sz w:val="24"/>
                <w:szCs w:val="24"/>
              </w:rPr>
              <w:t>审核条款：</w:t>
            </w:r>
          </w:p>
          <w:p>
            <w:pPr>
              <w:rPr>
                <w:b w:val="0"/>
                <w:bCs w:val="0"/>
                <w:sz w:val="24"/>
                <w:szCs w:val="24"/>
              </w:rPr>
            </w:pPr>
          </w:p>
        </w:tc>
        <w:tc>
          <w:tcPr>
            <w:tcW w:w="1585" w:type="dxa"/>
            <w:vMerge w:val="continue"/>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b w:val="0"/>
                <w:bCs w:val="0"/>
              </w:rPr>
            </w:pPr>
            <w:r>
              <w:rPr>
                <w:rFonts w:hint="eastAsia" w:ascii="Times New Roman" w:hAnsi="Times New Roman" w:eastAsia="宋体" w:cs="Lucida Sans"/>
                <w:b w:val="0"/>
                <w:bCs w:val="0"/>
                <w:szCs w:val="20"/>
              </w:rPr>
              <w:t>职责和权限</w:t>
            </w:r>
          </w:p>
        </w:tc>
        <w:tc>
          <w:tcPr>
            <w:tcW w:w="960" w:type="dxa"/>
            <w:vAlign w:val="center"/>
          </w:tcPr>
          <w:p>
            <w:pPr>
              <w:spacing w:line="360" w:lineRule="exact"/>
              <w:rPr>
                <w:b w:val="0"/>
                <w:bCs w:val="0"/>
                <w:szCs w:val="21"/>
              </w:rPr>
            </w:pPr>
            <w:r>
              <w:rPr>
                <w:rFonts w:hint="eastAsia"/>
                <w:b w:val="0"/>
                <w:bCs w:val="0"/>
                <w:szCs w:val="21"/>
              </w:rPr>
              <w:t>E</w:t>
            </w:r>
            <w:r>
              <w:rPr>
                <w:rFonts w:hint="eastAsia"/>
                <w:b w:val="0"/>
                <w:bCs w:val="0"/>
                <w:szCs w:val="21"/>
                <w:lang w:val="en-US" w:eastAsia="zh-CN"/>
              </w:rPr>
              <w:t>O</w:t>
            </w:r>
            <w:r>
              <w:rPr>
                <w:rFonts w:hint="eastAsia"/>
                <w:b w:val="0"/>
                <w:bCs w:val="0"/>
                <w:szCs w:val="21"/>
              </w:rPr>
              <w:t>5.3</w:t>
            </w:r>
          </w:p>
          <w:p>
            <w:pPr>
              <w:rPr>
                <w:b w:val="0"/>
                <w:bCs w:val="0"/>
              </w:rPr>
            </w:pPr>
          </w:p>
        </w:tc>
        <w:tc>
          <w:tcPr>
            <w:tcW w:w="10004" w:type="dxa"/>
          </w:tcPr>
          <w:p>
            <w:pPr>
              <w:ind w:firstLine="420" w:firstLineChars="200"/>
              <w:jc w:val="both"/>
              <w:rPr>
                <w:rFonts w:hint="eastAsia"/>
                <w:lang w:eastAsia="zh-CN"/>
              </w:rPr>
            </w:pPr>
            <w:r>
              <w:rPr>
                <w:rFonts w:hint="eastAsia"/>
                <w:lang w:eastAsia="zh-CN"/>
              </w:rPr>
              <w:t>负责本部门的环境因素及危险源的辨识；</w:t>
            </w:r>
          </w:p>
          <w:p>
            <w:pPr>
              <w:ind w:firstLine="420" w:firstLineChars="200"/>
              <w:jc w:val="both"/>
              <w:rPr>
                <w:rFonts w:hint="eastAsia"/>
                <w:lang w:eastAsia="zh-CN"/>
              </w:rPr>
            </w:pPr>
            <w:r>
              <w:rPr>
                <w:rFonts w:hint="eastAsia"/>
                <w:lang w:eastAsia="zh-CN"/>
              </w:rPr>
              <w:t>负责本部门的环境及职业安全的运行工作</w:t>
            </w:r>
          </w:p>
          <w:p>
            <w:pPr>
              <w:ind w:firstLine="420" w:firstLineChars="200"/>
              <w:jc w:val="both"/>
              <w:rPr>
                <w:rFonts w:hint="eastAsia"/>
                <w:lang w:eastAsia="zh-CN"/>
              </w:rPr>
            </w:pPr>
            <w:r>
              <w:rPr>
                <w:rFonts w:hint="eastAsia"/>
                <w:lang w:eastAsia="zh-CN"/>
              </w:rPr>
              <w:t>负责辨识本部门的法律、法规及其他要求的获取及识别其适用性，</w:t>
            </w:r>
          </w:p>
          <w:p>
            <w:pPr>
              <w:pStyle w:val="10"/>
            </w:pPr>
            <w:r>
              <w:rPr>
                <w:rFonts w:hint="eastAsia"/>
                <w:lang w:eastAsia="zh-CN"/>
              </w:rPr>
              <w:t>负责本部门相关方的识别及管理工作</w:t>
            </w:r>
          </w:p>
          <w:p>
            <w:pPr>
              <w:ind w:firstLine="420" w:firstLineChars="200"/>
              <w:rPr>
                <w:rFonts w:hint="eastAsia"/>
              </w:rPr>
            </w:pPr>
            <w:r>
              <w:rPr>
                <w:rFonts w:hint="eastAsia"/>
                <w:lang w:val="en-US" w:eastAsia="zh-CN"/>
              </w:rPr>
              <w:t>现场询问部门负责人</w:t>
            </w:r>
            <w:r>
              <w:rPr>
                <w:rFonts w:hint="eastAsia"/>
              </w:rPr>
              <w:t>明来光</w:t>
            </w:r>
            <w:r>
              <w:rPr>
                <w:rFonts w:hint="eastAsia"/>
                <w:lang w:eastAsia="zh-CN"/>
              </w:rPr>
              <w:t>，</w:t>
            </w:r>
            <w:r>
              <w:rPr>
                <w:rFonts w:hint="eastAsia"/>
              </w:rPr>
              <w:t>能够了解并履行自己职责，沟通顺畅。</w:t>
            </w:r>
          </w:p>
          <w:p>
            <w:pPr>
              <w:pStyle w:val="10"/>
              <w:rPr>
                <w:rFonts w:hint="default"/>
                <w:b w:val="0"/>
                <w:bCs w:val="0"/>
                <w:lang w:val="en-US" w:eastAsia="zh-CN"/>
              </w:rPr>
            </w:pPr>
          </w:p>
        </w:tc>
        <w:tc>
          <w:tcPr>
            <w:tcW w:w="1585" w:type="dxa"/>
          </w:tcPr>
          <w:p>
            <w:pPr>
              <w:rPr>
                <w:rFonts w:hint="default" w:eastAsia="宋体"/>
                <w:b w:val="0"/>
                <w:bCs w:val="0"/>
                <w:lang w:val="en-US" w:eastAsia="zh-CN"/>
              </w:rPr>
            </w:pPr>
            <w:r>
              <w:rPr>
                <w:rFonts w:hint="eastAsia"/>
                <w:b w:val="0"/>
                <w:bCs w:val="0"/>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val="0"/>
                <w:bCs w:val="0"/>
              </w:rPr>
            </w:pPr>
            <w:r>
              <w:rPr>
                <w:rFonts w:hint="eastAsia" w:ascii="Times New Roman" w:hAnsi="Times New Roman" w:eastAsia="宋体" w:cs="Lucida Sans"/>
                <w:b w:val="0"/>
                <w:bCs w:val="0"/>
                <w:szCs w:val="20"/>
              </w:rPr>
              <w:t>目标分解及考核，目标指标及管理方案</w:t>
            </w:r>
          </w:p>
        </w:tc>
        <w:tc>
          <w:tcPr>
            <w:tcW w:w="960" w:type="dxa"/>
            <w:vAlign w:val="center"/>
          </w:tcPr>
          <w:p>
            <w:pPr>
              <w:rPr>
                <w:rFonts w:ascii="Times New Roman" w:hAnsi="Times New Roman" w:eastAsia="宋体" w:cs="Lucida Sans"/>
                <w:b w:val="0"/>
                <w:bCs w:val="0"/>
                <w:szCs w:val="20"/>
              </w:rPr>
            </w:pPr>
          </w:p>
          <w:p>
            <w:pPr>
              <w:rPr>
                <w:rFonts w:ascii="Times New Roman" w:hAnsi="Times New Roman" w:eastAsia="宋体" w:cs="Lucida Sans"/>
                <w:b w:val="0"/>
                <w:bCs w:val="0"/>
                <w:szCs w:val="20"/>
              </w:rPr>
            </w:pPr>
            <w:r>
              <w:rPr>
                <w:rFonts w:ascii="Times New Roman" w:hAnsi="Times New Roman" w:eastAsia="宋体" w:cs="Lucida Sans"/>
                <w:b w:val="0"/>
                <w:bCs w:val="0"/>
                <w:szCs w:val="20"/>
              </w:rPr>
              <w:t>E</w:t>
            </w:r>
            <w:r>
              <w:rPr>
                <w:rFonts w:hint="eastAsia" w:cs="Lucida Sans"/>
                <w:b w:val="0"/>
                <w:bCs w:val="0"/>
                <w:szCs w:val="20"/>
                <w:lang w:val="en-US" w:eastAsia="zh-CN"/>
              </w:rPr>
              <w:t>O</w:t>
            </w:r>
            <w:r>
              <w:rPr>
                <w:rFonts w:ascii="Times New Roman" w:hAnsi="Times New Roman" w:eastAsia="宋体" w:cs="Lucida Sans"/>
                <w:b w:val="0"/>
                <w:bCs w:val="0"/>
                <w:szCs w:val="20"/>
              </w:rPr>
              <w:t>6.2</w:t>
            </w:r>
          </w:p>
          <w:p>
            <w:pPr>
              <w:rPr>
                <w:b w:val="0"/>
                <w:bCs w:val="0"/>
              </w:rPr>
            </w:pPr>
          </w:p>
        </w:tc>
        <w:tc>
          <w:tcPr>
            <w:tcW w:w="10004" w:type="dxa"/>
          </w:tcPr>
          <w:p>
            <w:pPr>
              <w:rPr>
                <w:rFonts w:ascii="Times New Roman" w:hAnsi="Times New Roman" w:eastAsia="宋体" w:cs="Lucida Sans"/>
                <w:b w:val="0"/>
                <w:bCs w:val="0"/>
                <w:szCs w:val="20"/>
              </w:rPr>
            </w:pPr>
            <w:r>
              <w:rPr>
                <w:rFonts w:hint="eastAsia" w:ascii="Times New Roman" w:hAnsi="Times New Roman" w:eastAsia="宋体" w:cs="Lucida Sans"/>
                <w:b w:val="0"/>
                <w:bCs w:val="0"/>
                <w:szCs w:val="20"/>
              </w:rPr>
              <w:t>部门分解的质量目标：</w:t>
            </w:r>
            <w:r>
              <w:rPr>
                <w:rFonts w:hint="eastAsia" w:ascii="Times New Roman" w:hAnsi="Times New Roman" w:eastAsia="宋体" w:cs="Lucida Sans"/>
                <w:b w:val="0"/>
                <w:bCs w:val="0"/>
                <w:color w:val="FF0000"/>
                <w:szCs w:val="20"/>
              </w:rPr>
              <w:t xml:space="preserve"> </w:t>
            </w:r>
            <w:r>
              <w:rPr>
                <w:rFonts w:hint="eastAsia" w:cs="Lucida Sans"/>
                <w:b w:val="0"/>
                <w:bCs w:val="0"/>
                <w:color w:val="FF0000"/>
                <w:szCs w:val="20"/>
                <w:lang w:val="en-US" w:eastAsia="zh-CN"/>
              </w:rPr>
              <w:t xml:space="preserve">     </w:t>
            </w:r>
          </w:p>
          <w:p>
            <w:pPr>
              <w:rPr>
                <w:rFonts w:hint="eastAsia"/>
                <w:color w:val="auto"/>
              </w:rPr>
            </w:pPr>
            <w:r>
              <w:rPr>
                <w:rFonts w:hint="eastAsia"/>
                <w:color w:val="auto"/>
              </w:rPr>
              <w:t>1、固废100％分类进行处理</w:t>
            </w:r>
          </w:p>
          <w:p>
            <w:pPr>
              <w:rPr>
                <w:rFonts w:hint="eastAsia"/>
                <w:color w:val="auto"/>
              </w:rPr>
            </w:pPr>
            <w:r>
              <w:rPr>
                <w:rFonts w:hint="eastAsia"/>
                <w:color w:val="auto"/>
              </w:rPr>
              <w:t>2、无重大环境投诉</w:t>
            </w:r>
          </w:p>
          <w:p>
            <w:pPr>
              <w:rPr>
                <w:rFonts w:hint="eastAsia"/>
                <w:color w:val="auto"/>
              </w:rPr>
            </w:pPr>
            <w:r>
              <w:rPr>
                <w:rFonts w:hint="eastAsia"/>
                <w:color w:val="auto"/>
              </w:rPr>
              <w:t>3、火灾事故发生率为0。</w:t>
            </w:r>
          </w:p>
          <w:p>
            <w:pPr>
              <w:rPr>
                <w:rFonts w:hint="eastAsia"/>
                <w:color w:val="auto"/>
              </w:rPr>
            </w:pPr>
            <w:r>
              <w:rPr>
                <w:rFonts w:hint="eastAsia"/>
                <w:color w:val="auto"/>
              </w:rPr>
              <w:t xml:space="preserve">1）各类重伤以上事故发生率为零； </w:t>
            </w:r>
          </w:p>
          <w:p>
            <w:pPr>
              <w:rPr>
                <w:rFonts w:hint="eastAsia"/>
                <w:color w:val="auto"/>
              </w:rPr>
            </w:pPr>
            <w:r>
              <w:rPr>
                <w:rFonts w:hint="eastAsia"/>
                <w:color w:val="auto"/>
              </w:rPr>
              <w:t>2）火灾事故发生率为零。</w:t>
            </w:r>
          </w:p>
          <w:p>
            <w:pPr>
              <w:rPr>
                <w:rFonts w:hint="eastAsia"/>
                <w:sz w:val="21"/>
                <w:szCs w:val="21"/>
              </w:rPr>
            </w:pPr>
            <w:r>
              <w:rPr>
                <w:rFonts w:hint="eastAsia" w:cs="Lucida Sans"/>
                <w:b/>
                <w:szCs w:val="20"/>
                <w:lang w:val="en-US" w:eastAsia="zh-CN"/>
              </w:rPr>
              <w:t>提供2020年9-2021.5月考核统计，目标均完成，</w:t>
            </w:r>
            <w:r>
              <w:rPr>
                <w:rFonts w:hint="eastAsia" w:ascii="Times New Roman" w:hAnsi="Times New Roman" w:eastAsia="宋体" w:cs="Lucida Sans"/>
                <w:b/>
                <w:szCs w:val="20"/>
              </w:rPr>
              <w:t>考核人：</w:t>
            </w:r>
            <w:r>
              <w:rPr>
                <w:rFonts w:hint="eastAsia" w:ascii="宋体" w:hAnsi="宋体"/>
                <w:szCs w:val="21"/>
                <w:lang w:val="zh-CN" w:eastAsia="zh-CN"/>
              </w:rPr>
              <w:t>赵喜群</w:t>
            </w:r>
            <w:r>
              <w:rPr>
                <w:rFonts w:hint="eastAsia"/>
                <w:b w:val="0"/>
                <w:bCs w:val="0"/>
                <w:sz w:val="21"/>
                <w:szCs w:val="21"/>
              </w:rPr>
              <w:t>，</w:t>
            </w:r>
            <w:r>
              <w:rPr>
                <w:rFonts w:hint="eastAsia" w:ascii="Times New Roman" w:hAnsi="Times New Roman" w:eastAsia="宋体" w:cs="Lucida Sans"/>
                <w:b/>
                <w:szCs w:val="20"/>
              </w:rPr>
              <w:t>，目标适宜。</w:t>
            </w:r>
          </w:p>
          <w:p>
            <w:pPr>
              <w:rPr>
                <w:rFonts w:hint="default" w:eastAsia="宋体"/>
                <w:b w:val="0"/>
                <w:bCs w:val="0"/>
                <w:lang w:val="en-US" w:eastAsia="zh-CN"/>
              </w:rPr>
            </w:pPr>
          </w:p>
        </w:tc>
        <w:tc>
          <w:tcPr>
            <w:tcW w:w="1585" w:type="dxa"/>
          </w:tcPr>
          <w:p>
            <w:pPr>
              <w:rPr>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exact"/>
              <w:rPr>
                <w:rFonts w:hint="eastAsia" w:ascii="Times New Roman" w:hAnsi="Times New Roman" w:eastAsia="宋体" w:cs="Lucida Sans"/>
                <w:b/>
                <w:szCs w:val="20"/>
              </w:rPr>
            </w:pPr>
          </w:p>
          <w:p>
            <w:pPr>
              <w:spacing w:line="360" w:lineRule="exact"/>
              <w:rPr>
                <w:rFonts w:hint="eastAsia" w:ascii="Times New Roman" w:hAnsi="Times New Roman" w:eastAsia="宋体" w:cs="Lucida Sans"/>
                <w:b/>
                <w:szCs w:val="20"/>
              </w:rPr>
            </w:pPr>
          </w:p>
          <w:p>
            <w:pPr>
              <w:spacing w:line="360" w:lineRule="exact"/>
              <w:rPr>
                <w:rFonts w:ascii="Times New Roman" w:hAnsi="Times New Roman" w:eastAsia="宋体" w:cs="Lucida Sans"/>
                <w:b/>
                <w:szCs w:val="20"/>
              </w:rPr>
            </w:pPr>
            <w:r>
              <w:rPr>
                <w:rFonts w:hint="eastAsia" w:ascii="Times New Roman" w:hAnsi="Times New Roman" w:eastAsia="宋体" w:cs="Lucida Sans"/>
                <w:b/>
                <w:szCs w:val="20"/>
              </w:rPr>
              <w:t>应对风险和机遇的措施</w:t>
            </w:r>
          </w:p>
          <w:p>
            <w:pPr>
              <w:rPr>
                <w:rFonts w:hint="eastAsia"/>
                <w:b w:val="0"/>
                <w:bCs w:val="0"/>
                <w:sz w:val="21"/>
                <w:szCs w:val="21"/>
              </w:rPr>
            </w:pPr>
          </w:p>
        </w:tc>
        <w:tc>
          <w:tcPr>
            <w:tcW w:w="960" w:type="dxa"/>
            <w:vAlign w:val="center"/>
          </w:tcPr>
          <w:p>
            <w:pPr>
              <w:rPr>
                <w:rFonts w:ascii="Times New Roman" w:hAnsi="Times New Roman" w:eastAsia="宋体" w:cs="Lucida Sans"/>
                <w:b/>
                <w:szCs w:val="20"/>
              </w:rPr>
            </w:pPr>
            <w:r>
              <w:rPr>
                <w:rFonts w:hint="eastAsia" w:ascii="Times New Roman" w:hAnsi="Times New Roman" w:eastAsia="宋体" w:cs="Lucida Sans"/>
                <w:b/>
                <w:szCs w:val="20"/>
              </w:rPr>
              <w:t>E</w:t>
            </w:r>
            <w:r>
              <w:rPr>
                <w:rFonts w:hint="eastAsia" w:cs="Lucida Sans"/>
                <w:b/>
                <w:szCs w:val="20"/>
                <w:lang w:val="en-US" w:eastAsia="zh-CN"/>
              </w:rPr>
              <w:t>S</w:t>
            </w:r>
            <w:r>
              <w:rPr>
                <w:rFonts w:hint="eastAsia" w:ascii="Times New Roman" w:hAnsi="Times New Roman" w:eastAsia="宋体" w:cs="Lucida Sans"/>
                <w:b/>
                <w:szCs w:val="20"/>
              </w:rPr>
              <w:t>6.1.1</w:t>
            </w:r>
          </w:p>
          <w:p>
            <w:pPr>
              <w:rPr>
                <w:rFonts w:ascii="Times New Roman" w:hAnsi="Times New Roman" w:eastAsia="宋体" w:cs="Lucida Sans"/>
                <w:b/>
                <w:szCs w:val="20"/>
              </w:rPr>
            </w:pPr>
          </w:p>
          <w:p>
            <w:pPr>
              <w:rPr>
                <w:rFonts w:ascii="Times New Roman" w:hAnsi="Times New Roman" w:eastAsia="宋体" w:cs="Times New Roman"/>
                <w:kern w:val="2"/>
                <w:sz w:val="21"/>
                <w:lang w:val="en-US" w:eastAsia="zh-CN" w:bidi="ar-SA"/>
              </w:rPr>
            </w:pPr>
          </w:p>
        </w:tc>
        <w:tc>
          <w:tcPr>
            <w:tcW w:w="10004" w:type="dxa"/>
            <w:vAlign w:val="center"/>
          </w:tcPr>
          <w:p>
            <w:pPr>
              <w:spacing w:line="280" w:lineRule="exact"/>
              <w:rPr>
                <w:rFonts w:hint="eastAsia"/>
                <w:lang w:val="en-US" w:eastAsia="zh-CN"/>
              </w:rPr>
            </w:pPr>
          </w:p>
          <w:p>
            <w:pPr>
              <w:spacing w:line="280" w:lineRule="exact"/>
              <w:ind w:firstLine="420" w:firstLineChars="200"/>
              <w:rPr>
                <w:rFonts w:hint="eastAsia"/>
                <w:lang w:val="en-US" w:eastAsia="zh-CN"/>
              </w:rPr>
            </w:pPr>
          </w:p>
          <w:p>
            <w:pPr>
              <w:spacing w:line="280" w:lineRule="exact"/>
              <w:ind w:firstLine="420" w:firstLineChars="200"/>
            </w:pPr>
            <w:r>
              <w:rPr>
                <w:rFonts w:hint="eastAsia"/>
                <w:lang w:val="en-US" w:eastAsia="zh-CN"/>
              </w:rPr>
              <w:t>1.</w:t>
            </w:r>
            <w:r>
              <w:rPr>
                <w:rFonts w:hint="eastAsia"/>
              </w:rPr>
              <w:t>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pPr>
            <w:r>
              <w:rPr>
                <w:rFonts w:hint="eastAsia"/>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r>
              <w:rPr>
                <w:rFonts w:hint="eastAsia"/>
              </w:rPr>
              <w:t>3.</w:t>
            </w:r>
            <w:r>
              <w:t>在进行体系策划时，公司领导层考虑该公司所处的内外环境和问题，以及相关方的要求，识别和确定该公司</w:t>
            </w:r>
            <w:r>
              <w:rPr>
                <w:rFonts w:hint="eastAsia"/>
              </w:rPr>
              <w:t>资质范围内工程设计；工程项目管理</w:t>
            </w:r>
            <w:r>
              <w:t>中存在的影响</w:t>
            </w:r>
            <w:r>
              <w:rPr>
                <w:rFonts w:hint="eastAsia"/>
                <w:lang w:val="en-US" w:eastAsia="zh-CN"/>
              </w:rPr>
              <w:t>设计</w:t>
            </w:r>
            <w:r>
              <w:t>和服务质量的风险和机遇、通过环境因素和危险源识别及评价，合规义务的收集和评价，确定公司内外环境中存在的问题和合规义务的要求，识别公司存在的环境风险和机遇。确保公司的质量、环境管理体系能够实现其预期结果，预防或减少不期望的影响，包括外部环境状况对公司的潜在影响，实现持续改进。</w:t>
            </w:r>
          </w:p>
          <w:p>
            <w:pPr>
              <w:rPr>
                <w:color w:val="auto"/>
              </w:rPr>
            </w:pPr>
            <w:r>
              <w:t>公司存</w:t>
            </w:r>
            <w:r>
              <w:rPr>
                <w:color w:val="auto"/>
              </w:rPr>
              <w:t>在的风险和机遇主要有：</w:t>
            </w:r>
          </w:p>
          <w:p>
            <w:pPr>
              <w:rPr>
                <w:color w:val="auto"/>
              </w:rPr>
            </w:pPr>
            <w:r>
              <w:rPr>
                <w:color w:val="auto"/>
              </w:rPr>
              <w:t>a）</w:t>
            </w:r>
            <w:r>
              <w:rPr>
                <w:rFonts w:hint="eastAsia" w:ascii="宋体" w:hAnsi="宋体"/>
                <w:szCs w:val="21"/>
              </w:rPr>
              <w:t>汽车教学设备的研发、销售及售后服务</w:t>
            </w:r>
            <w:r>
              <w:rPr>
                <w:rFonts w:hint="eastAsia"/>
                <w:color w:val="auto"/>
              </w:rPr>
              <w:t>；</w:t>
            </w:r>
            <w:r>
              <w:rPr>
                <w:color w:val="auto"/>
              </w:rPr>
              <w:t>由于人员的专业知识不足，质量不合格。</w:t>
            </w:r>
          </w:p>
          <w:p>
            <w:pPr>
              <w:rPr>
                <w:color w:val="auto"/>
              </w:rPr>
            </w:pPr>
            <w:r>
              <w:rPr>
                <w:color w:val="auto"/>
              </w:rPr>
              <w:t>b）</w:t>
            </w:r>
            <w:r>
              <w:rPr>
                <w:rFonts w:hint="eastAsia" w:ascii="宋体" w:hAnsi="宋体"/>
                <w:szCs w:val="21"/>
              </w:rPr>
              <w:t>汽车教学设备的研发、销售及售后服务</w:t>
            </w:r>
            <w:r>
              <w:rPr>
                <w:rFonts w:hint="eastAsia"/>
                <w:color w:val="auto"/>
              </w:rPr>
              <w:t>；</w:t>
            </w:r>
            <w:r>
              <w:rPr>
                <w:color w:val="auto"/>
              </w:rPr>
              <w:t>由于人员的环境保护、安全意识不够，造成意外环境污染和工伤事故。</w:t>
            </w:r>
          </w:p>
          <w:p>
            <w:pPr>
              <w:rPr>
                <w:color w:val="auto"/>
              </w:rPr>
            </w:pPr>
            <w:r>
              <w:rPr>
                <w:color w:val="auto"/>
              </w:rPr>
              <w:t>c</w:t>
            </w:r>
            <w:r>
              <w:rPr>
                <w:rFonts w:hint="eastAsia" w:ascii="宋体" w:hAnsi="宋体"/>
                <w:szCs w:val="21"/>
              </w:rPr>
              <w:t>汽车教学设备的研发、销售及售后服务</w:t>
            </w:r>
            <w:r>
              <w:rPr>
                <w:rFonts w:hint="eastAsia"/>
                <w:color w:val="auto"/>
              </w:rPr>
              <w:t>；</w:t>
            </w:r>
            <w:r>
              <w:rPr>
                <w:color w:val="auto"/>
              </w:rPr>
              <w:t>由于设备故障，造成人员</w:t>
            </w:r>
            <w:r>
              <w:rPr>
                <w:rFonts w:hint="eastAsia"/>
                <w:color w:val="auto"/>
                <w:lang w:val="en-US" w:eastAsia="zh-CN"/>
              </w:rPr>
              <w:t>意外</w:t>
            </w:r>
            <w:r>
              <w:rPr>
                <w:color w:val="auto"/>
              </w:rPr>
              <w:t>伤害、触电事故。</w:t>
            </w:r>
          </w:p>
          <w:p>
            <w:pPr>
              <w:rPr>
                <w:color w:val="auto"/>
              </w:rPr>
            </w:pPr>
            <w:r>
              <w:rPr>
                <w:color w:val="auto"/>
              </w:rPr>
              <w:t>d</w:t>
            </w:r>
            <w:r>
              <w:rPr>
                <w:rFonts w:hint="eastAsia" w:ascii="宋体" w:hAnsi="宋体"/>
                <w:szCs w:val="21"/>
              </w:rPr>
              <w:t>汽车教学设备的研发、销售及售后服务</w:t>
            </w:r>
            <w:r>
              <w:rPr>
                <w:rFonts w:hint="eastAsia"/>
                <w:color w:val="auto"/>
              </w:rPr>
              <w:t>；</w:t>
            </w:r>
            <w:r>
              <w:rPr>
                <w:color w:val="auto"/>
              </w:rPr>
              <w:t>由于作业指导书、安全作业规程不足，使得</w:t>
            </w:r>
            <w:r>
              <w:rPr>
                <w:rFonts w:hint="eastAsia"/>
                <w:color w:val="auto"/>
                <w:lang w:val="en-US" w:eastAsia="zh-CN"/>
              </w:rPr>
              <w:t>服务</w:t>
            </w:r>
            <w:r>
              <w:rPr>
                <w:color w:val="auto"/>
              </w:rPr>
              <w:t>质量不合格和人员安全事件的发生。</w:t>
            </w:r>
          </w:p>
          <w:p>
            <w:pPr>
              <w:rPr>
                <w:color w:val="auto"/>
              </w:rPr>
            </w:pPr>
            <w:r>
              <w:rPr>
                <w:rFonts w:hint="eastAsia"/>
                <w:color w:val="auto"/>
                <w:lang w:val="en-US" w:eastAsia="zh-CN"/>
              </w:rPr>
              <w:t>e</w:t>
            </w:r>
            <w:r>
              <w:rPr>
                <w:color w:val="auto"/>
              </w:rPr>
              <w:t>）违反相关的法律法规，影响公司的社会形象，遵守法规提高公司的社会形象。</w:t>
            </w:r>
          </w:p>
          <w:p>
            <w:pPr>
              <w:rPr>
                <w:color w:val="auto"/>
              </w:rPr>
            </w:pPr>
            <w:r>
              <w:rPr>
                <w:rFonts w:hint="eastAsia"/>
                <w:color w:val="auto"/>
                <w:lang w:val="en-US" w:eastAsia="zh-CN"/>
              </w:rPr>
              <w:t>f</w:t>
            </w:r>
            <w:r>
              <w:rPr>
                <w:color w:val="auto"/>
              </w:rPr>
              <w:t>）公司潜在紧急情况，如火灾、触电、车辆伤害、物体打击等。</w:t>
            </w:r>
          </w:p>
          <w:p>
            <w:pPr>
              <w:rPr>
                <w:color w:val="auto"/>
              </w:rPr>
            </w:pPr>
            <w:r>
              <w:rPr>
                <w:rFonts w:hint="eastAsia"/>
                <w:color w:val="auto"/>
                <w:lang w:val="en-US" w:eastAsia="zh-CN"/>
              </w:rPr>
              <w:t>g</w:t>
            </w:r>
            <w:r>
              <w:rPr>
                <w:rFonts w:hint="eastAsia"/>
                <w:color w:val="auto"/>
              </w:rPr>
              <w:t>）</w:t>
            </w:r>
            <w:r>
              <w:rPr>
                <w:color w:val="auto"/>
              </w:rPr>
              <w:t>经营方面的风险如PPP、资金运行等</w:t>
            </w:r>
          </w:p>
          <w:p>
            <w:pPr>
              <w:ind w:firstLine="420" w:firstLineChars="200"/>
            </w:pPr>
            <w:r>
              <w:t>应对这些风险编制了《管理手册》</w:t>
            </w:r>
            <w:r>
              <w:rPr>
                <w:rFonts w:hint="eastAsia"/>
              </w:rPr>
              <w:t>、</w:t>
            </w:r>
            <w:r>
              <w:t>《程序文件》及《管理制度》。</w:t>
            </w:r>
          </w:p>
          <w:p>
            <w:pPr>
              <w:spacing w:line="280" w:lineRule="exact"/>
              <w:ind w:firstLine="420" w:firstLineChars="200"/>
              <w:rPr>
                <w:rFonts w:hint="eastAsia"/>
              </w:rPr>
            </w:pPr>
            <w:r>
              <w:rPr>
                <w:rFonts w:hint="eastAsia"/>
              </w:rPr>
              <w:t>提供有《环境安全运行管理制度》，内容包括环境因素、危险源的识别、评价、汇总；重要环境因素和不可接受风险的控制。</w:t>
            </w:r>
          </w:p>
          <w:p>
            <w:pPr>
              <w:rPr>
                <w:rFonts w:hint="default" w:ascii="Times New Roman" w:hAnsi="Times New Roman" w:eastAsia="宋体" w:cs="Lucida Sans"/>
                <w:b w:val="0"/>
                <w:bCs/>
                <w:szCs w:val="20"/>
                <w:lang w:val="en-US" w:eastAsia="zh-CN"/>
              </w:rPr>
            </w:pPr>
            <w:r>
              <w:rPr>
                <w:rFonts w:hint="eastAsia" w:cs="宋体" w:asciiTheme="minorEastAsia" w:hAnsiTheme="minorEastAsia" w:eastAsiaTheme="minorEastAsia"/>
                <w:szCs w:val="21"/>
                <w:lang w:val="en-US" w:eastAsia="zh-CN"/>
              </w:rPr>
              <w:t>公司对识别的重要环境因素及不可接受风险，对其进行监控</w:t>
            </w:r>
            <w:r>
              <w:rPr>
                <w:rFonts w:hint="eastAsia"/>
              </w:rPr>
              <w:t>并贯穿其整个生命周期</w:t>
            </w:r>
          </w:p>
          <w:p>
            <w:pPr>
              <w:rPr>
                <w:rFonts w:hint="eastAsia" w:ascii="Times New Roman" w:hAnsi="Times New Roman" w:eastAsia="宋体" w:cs="Times New Roman"/>
                <w:kern w:val="2"/>
                <w:sz w:val="21"/>
                <w:lang w:val="en-US" w:eastAsia="zh-CN" w:bidi="ar-SA"/>
              </w:rPr>
            </w:pPr>
          </w:p>
        </w:tc>
        <w:tc>
          <w:tcPr>
            <w:tcW w:w="1585" w:type="dxa"/>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b w:val="0"/>
                <w:bCs w:val="0"/>
                <w:sz w:val="21"/>
                <w:szCs w:val="21"/>
              </w:rPr>
            </w:pPr>
          </w:p>
          <w:p>
            <w:pPr>
              <w:rPr>
                <w:rFonts w:hint="eastAsia"/>
                <w:b w:val="0"/>
                <w:bCs w:val="0"/>
                <w:sz w:val="21"/>
                <w:szCs w:val="21"/>
              </w:rPr>
            </w:pPr>
          </w:p>
          <w:p>
            <w:pPr>
              <w:rPr>
                <w:rFonts w:hint="eastAsia" w:eastAsia="宋体"/>
                <w:b w:val="0"/>
                <w:bCs w:val="0"/>
                <w:lang w:eastAsia="zh-CN"/>
              </w:rPr>
            </w:pPr>
            <w:r>
              <w:rPr>
                <w:rFonts w:hint="eastAsia"/>
                <w:b w:val="0"/>
                <w:bCs w:val="0"/>
                <w:sz w:val="21"/>
                <w:szCs w:val="21"/>
              </w:rPr>
              <w:t>环境因素、危险源识别</w:t>
            </w:r>
          </w:p>
        </w:tc>
        <w:tc>
          <w:tcPr>
            <w:tcW w:w="960" w:type="dxa"/>
            <w:vAlign w:val="center"/>
          </w:tcPr>
          <w:p>
            <w:pPr>
              <w:rPr>
                <w:rFonts w:hint="eastAsia"/>
                <w:b w:val="0"/>
                <w:bCs w:val="0"/>
                <w:sz w:val="21"/>
                <w:szCs w:val="21"/>
              </w:rPr>
            </w:pPr>
            <w:r>
              <w:rPr>
                <w:rFonts w:hint="eastAsia"/>
                <w:b w:val="0"/>
                <w:bCs w:val="0"/>
                <w:sz w:val="21"/>
                <w:szCs w:val="21"/>
              </w:rPr>
              <w:t>E</w:t>
            </w:r>
            <w:r>
              <w:rPr>
                <w:rFonts w:hint="eastAsia"/>
                <w:b w:val="0"/>
                <w:bCs w:val="0"/>
                <w:sz w:val="21"/>
                <w:szCs w:val="21"/>
                <w:lang w:val="en-US" w:eastAsia="zh-CN"/>
              </w:rPr>
              <w:t>O</w:t>
            </w:r>
            <w:r>
              <w:rPr>
                <w:rFonts w:hint="eastAsia"/>
                <w:b w:val="0"/>
                <w:bCs w:val="0"/>
                <w:sz w:val="21"/>
                <w:szCs w:val="21"/>
              </w:rPr>
              <w:t>6.1.2</w:t>
            </w:r>
          </w:p>
          <w:p>
            <w:pPr>
              <w:rPr>
                <w:b w:val="0"/>
                <w:bCs w:val="0"/>
              </w:rPr>
            </w:pPr>
          </w:p>
        </w:tc>
        <w:tc>
          <w:tcPr>
            <w:tcW w:w="10004" w:type="dxa"/>
            <w:vAlign w:val="center"/>
          </w:tcPr>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《环境因素的识别与评价控制程序》《危险源辩识、风险评价和风险控制策划程序》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ascii="宋体" w:hAnsi="宋体"/>
                <w:szCs w:val="21"/>
              </w:rPr>
              <w:t>汽车教学设备的研发、销售及售后服务</w:t>
            </w:r>
            <w:r>
              <w:rPr>
                <w:rFonts w:hint="eastAsia" w:ascii="宋体" w:hAnsi="宋体" w:cs="宋体"/>
                <w:kern w:val="0"/>
                <w:szCs w:val="21"/>
              </w:rPr>
              <w:t>及相关环境管理活动</w:t>
            </w:r>
          </w:p>
          <w:p>
            <w:pPr>
              <w:ind w:firstLine="420" w:firstLineChars="200"/>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2</w:t>
            </w:r>
            <w:r>
              <w:rPr>
                <w:rFonts w:hint="eastAsia"/>
                <w:sz w:val="21"/>
                <w:szCs w:val="21"/>
              </w:rPr>
              <w:t>项：固废排放、火灾，评价符合程序要求及公司的实际情况。</w:t>
            </w:r>
          </w:p>
          <w:p>
            <w:pPr>
              <w:ind w:firstLine="420" w:firstLineChars="200"/>
              <w:rPr>
                <w:rFonts w:hint="eastAsia"/>
                <w:sz w:val="21"/>
                <w:szCs w:val="21"/>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p>
            <w:pPr>
              <w:ind w:firstLine="420" w:firstLineChars="200"/>
              <w:rPr>
                <w:rFonts w:hint="eastAsia"/>
                <w:sz w:val="21"/>
                <w:szCs w:val="21"/>
              </w:rPr>
            </w:pPr>
            <w:r>
              <w:rPr>
                <w:rFonts w:hint="eastAsia"/>
                <w:sz w:val="21"/>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3</w:t>
            </w:r>
            <w:r>
              <w:rPr>
                <w:rFonts w:hint="eastAsia"/>
                <w:sz w:val="21"/>
                <w:szCs w:val="21"/>
              </w:rPr>
              <w:t>项，涉及：火灾和触电</w:t>
            </w:r>
            <w:r>
              <w:rPr>
                <w:rFonts w:hint="eastAsia"/>
                <w:sz w:val="21"/>
                <w:szCs w:val="21"/>
                <w:lang w:eastAsia="zh-CN"/>
              </w:rPr>
              <w:t>、</w:t>
            </w:r>
            <w:r>
              <w:rPr>
                <w:rFonts w:hint="eastAsia"/>
                <w:sz w:val="21"/>
                <w:szCs w:val="21"/>
                <w:lang w:val="en-US" w:eastAsia="zh-CN"/>
              </w:rPr>
              <w:t>意外伤害</w:t>
            </w:r>
            <w:r>
              <w:rPr>
                <w:rFonts w:hint="eastAsia"/>
                <w:sz w:val="21"/>
                <w:szCs w:val="21"/>
                <w:lang w:eastAsia="zh-CN"/>
              </w:rPr>
              <w:t>。</w:t>
            </w:r>
            <w:r>
              <w:rPr>
                <w:rFonts w:hint="eastAsia"/>
                <w:sz w:val="21"/>
                <w:szCs w:val="21"/>
              </w:rPr>
              <w:t>评价符合程序要求及公司的实际情况。对危险源的控制措施包括制定管理制度、监督检查、应急预案、培训等。</w:t>
            </w:r>
          </w:p>
          <w:p>
            <w:pPr>
              <w:rPr>
                <w:b w:val="0"/>
                <w:bCs w:val="0"/>
              </w:rPr>
            </w:pPr>
          </w:p>
        </w:tc>
        <w:tc>
          <w:tcPr>
            <w:tcW w:w="1585" w:type="dxa"/>
          </w:tcPr>
          <w:p>
            <w:pPr>
              <w:rPr>
                <w:rFonts w:hint="default" w:eastAsia="宋体"/>
                <w:b w:val="0"/>
                <w:bCs w:val="0"/>
                <w:lang w:val="en-US" w:eastAsia="zh-CN"/>
              </w:rPr>
            </w:pPr>
            <w:r>
              <w:rPr>
                <w:rFonts w:hint="eastAsia"/>
                <w:b w:val="0"/>
                <w:bCs w:val="0"/>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rPr>
            </w:pPr>
            <w:r>
              <w:rPr>
                <w:rFonts w:ascii="Times New Roman" w:hAnsi="Times New Roman" w:eastAsia="宋体" w:cs="Lucida Sans"/>
                <w:b w:val="0"/>
                <w:bCs w:val="0"/>
                <w:szCs w:val="20"/>
              </w:rPr>
              <w:t>环境运行控制</w:t>
            </w:r>
          </w:p>
        </w:tc>
        <w:tc>
          <w:tcPr>
            <w:tcW w:w="960" w:type="dxa"/>
            <w:vAlign w:val="center"/>
          </w:tcPr>
          <w:p>
            <w:pPr>
              <w:rPr>
                <w:rFonts w:ascii="Times New Roman" w:hAnsi="Times New Roman" w:eastAsia="宋体" w:cs="Lucida Sans"/>
                <w:b w:val="0"/>
                <w:bCs w:val="0"/>
                <w:color w:val="auto"/>
                <w:szCs w:val="20"/>
              </w:rPr>
            </w:pPr>
            <w:r>
              <w:rPr>
                <w:rFonts w:hint="eastAsia" w:ascii="Times New Roman" w:hAnsi="Times New Roman" w:eastAsia="宋体" w:cs="Lucida Sans"/>
                <w:b w:val="0"/>
                <w:bCs w:val="0"/>
                <w:color w:val="auto"/>
                <w:szCs w:val="20"/>
              </w:rPr>
              <w:t>E</w:t>
            </w:r>
            <w:r>
              <w:rPr>
                <w:rFonts w:hint="eastAsia" w:cs="Lucida Sans"/>
                <w:b w:val="0"/>
                <w:bCs w:val="0"/>
                <w:color w:val="auto"/>
                <w:szCs w:val="20"/>
                <w:lang w:val="en-US" w:eastAsia="zh-CN"/>
              </w:rPr>
              <w:t>O</w:t>
            </w:r>
            <w:r>
              <w:rPr>
                <w:rFonts w:ascii="Times New Roman" w:hAnsi="Times New Roman" w:eastAsia="宋体" w:cs="Lucida Sans"/>
                <w:b w:val="0"/>
                <w:bCs w:val="0"/>
                <w:color w:val="auto"/>
                <w:szCs w:val="20"/>
              </w:rPr>
              <w:t>8.1</w:t>
            </w:r>
          </w:p>
          <w:p>
            <w:pPr>
              <w:rPr>
                <w:b w:val="0"/>
                <w:bCs w:val="0"/>
              </w:rPr>
            </w:pPr>
          </w:p>
        </w:tc>
        <w:tc>
          <w:tcPr>
            <w:tcW w:w="10004" w:type="dxa"/>
            <w:vAlign w:val="center"/>
          </w:tcPr>
          <w:p>
            <w:pPr>
              <w:pStyle w:val="10"/>
              <w:rPr>
                <w:rFonts w:hint="eastAsia" w:ascii="宋体" w:hAnsi="宋体" w:cs="宋体"/>
                <w:color w:val="auto"/>
                <w:kern w:val="0"/>
                <w:szCs w:val="21"/>
                <w:lang w:eastAsia="zh-CN"/>
              </w:rPr>
            </w:pPr>
          </w:p>
          <w:p>
            <w:pPr>
              <w:pStyle w:val="10"/>
              <w:rPr>
                <w:rFonts w:hint="eastAsia" w:ascii="宋体" w:hAnsi="宋体" w:cs="宋体"/>
                <w:color w:val="auto"/>
                <w:kern w:val="0"/>
                <w:szCs w:val="21"/>
                <w:lang w:eastAsia="zh-CN"/>
              </w:rPr>
            </w:pPr>
            <w:r>
              <w:rPr>
                <w:rFonts w:hint="eastAsia" w:ascii="宋体" w:hAnsi="宋体" w:cs="宋体"/>
                <w:color w:val="auto"/>
                <w:kern w:val="0"/>
                <w:szCs w:val="21"/>
                <w:lang w:val="en-US" w:eastAsia="zh-CN"/>
              </w:rPr>
              <w:t>1</w:t>
            </w:r>
            <w:r>
              <w:rPr>
                <w:rFonts w:hint="eastAsia" w:ascii="宋体" w:hAnsi="宋体" w:cs="宋体"/>
                <w:b/>
                <w:bCs w:val="0"/>
                <w:color w:val="auto"/>
                <w:kern w:val="0"/>
                <w:szCs w:val="21"/>
                <w:lang w:val="en-US" w:eastAsia="zh-CN"/>
              </w:rPr>
              <w:t>.</w:t>
            </w:r>
            <w:r>
              <w:rPr>
                <w:rFonts w:hint="eastAsia" w:ascii="宋体" w:hAnsi="宋体" w:cs="宋体"/>
                <w:b/>
                <w:bCs w:val="0"/>
                <w:color w:val="auto"/>
                <w:kern w:val="0"/>
                <w:szCs w:val="21"/>
                <w:lang w:eastAsia="zh-CN"/>
              </w:rPr>
              <w:t>废水控制</w:t>
            </w:r>
            <w:r>
              <w:rPr>
                <w:rFonts w:hint="eastAsia" w:ascii="宋体" w:hAnsi="宋体" w:cs="宋体"/>
                <w:color w:val="auto"/>
                <w:kern w:val="0"/>
                <w:szCs w:val="21"/>
                <w:lang w:eastAsia="zh-CN"/>
              </w:rPr>
              <w:t>：</w:t>
            </w:r>
          </w:p>
          <w:p>
            <w:pPr>
              <w:pStyle w:val="1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公司</w:t>
            </w:r>
            <w:r>
              <w:rPr>
                <w:rFonts w:hint="eastAsia" w:ascii="宋体" w:hAnsi="宋体"/>
                <w:szCs w:val="21"/>
              </w:rPr>
              <w:t>汽车教学设备的研发、销售及售后服务</w:t>
            </w:r>
            <w:r>
              <w:rPr>
                <w:rFonts w:hint="eastAsia" w:ascii="宋体" w:hAnsi="宋体"/>
                <w:szCs w:val="21"/>
                <w:lang w:val="en-US" w:eastAsia="zh-CN"/>
              </w:rPr>
              <w:t>不产生</w:t>
            </w:r>
            <w:r>
              <w:rPr>
                <w:rFonts w:hint="eastAsia" w:ascii="宋体" w:hAnsi="宋体" w:cs="宋体"/>
                <w:color w:val="auto"/>
                <w:kern w:val="0"/>
                <w:szCs w:val="21"/>
                <w:lang w:val="en-US" w:eastAsia="zh-CN"/>
              </w:rPr>
              <w:t>废水，</w:t>
            </w:r>
            <w:r>
              <w:rPr>
                <w:rFonts w:hint="eastAsia" w:ascii="宋体" w:hAnsi="宋体" w:cs="宋体"/>
                <w:color w:val="auto"/>
                <w:kern w:val="0"/>
                <w:szCs w:val="21"/>
                <w:lang w:eastAsia="zh-CN"/>
              </w:rPr>
              <w:t>职工日常生活用水：职工生活用水,</w:t>
            </w:r>
            <w:r>
              <w:rPr>
                <w:rFonts w:hint="eastAsia" w:ascii="宋体" w:hAnsi="宋体" w:cs="宋体"/>
                <w:color w:val="auto"/>
                <w:kern w:val="0"/>
                <w:szCs w:val="21"/>
                <w:lang w:val="en-US" w:eastAsia="zh-CN"/>
              </w:rPr>
              <w:t>排入市政管网</w:t>
            </w:r>
          </w:p>
          <w:p>
            <w:pPr>
              <w:pStyle w:val="10"/>
              <w:rPr>
                <w:rFonts w:hint="eastAsia" w:ascii="宋体" w:hAnsi="宋体" w:cs="宋体"/>
                <w:color w:val="auto"/>
                <w:kern w:val="0"/>
                <w:szCs w:val="21"/>
                <w:lang w:eastAsia="zh-CN"/>
              </w:rPr>
            </w:pPr>
            <w:r>
              <w:rPr>
                <w:rFonts w:hint="eastAsia" w:ascii="宋体" w:hAnsi="宋体" w:cs="宋体"/>
                <w:color w:val="auto"/>
                <w:kern w:val="0"/>
                <w:szCs w:val="21"/>
                <w:lang w:val="en-US" w:eastAsia="zh-CN"/>
              </w:rPr>
              <w:t>2.</w:t>
            </w:r>
            <w:r>
              <w:rPr>
                <w:rFonts w:hint="eastAsia" w:ascii="宋体" w:hAnsi="宋体" w:cs="宋体"/>
                <w:b/>
                <w:bCs w:val="0"/>
                <w:color w:val="auto"/>
                <w:kern w:val="0"/>
                <w:szCs w:val="21"/>
                <w:lang w:eastAsia="zh-CN"/>
              </w:rPr>
              <w:t>噪声控制</w:t>
            </w:r>
            <w:r>
              <w:rPr>
                <w:rFonts w:hint="eastAsia" w:ascii="宋体" w:hAnsi="宋体" w:cs="宋体"/>
                <w:color w:val="auto"/>
                <w:kern w:val="0"/>
                <w:szCs w:val="21"/>
                <w:lang w:eastAsia="zh-CN"/>
              </w:rPr>
              <w:t>：</w:t>
            </w:r>
            <w:r>
              <w:rPr>
                <w:rFonts w:hint="eastAsia" w:ascii="宋体" w:hAnsi="宋体"/>
                <w:szCs w:val="21"/>
              </w:rPr>
              <w:t>汽车教学设备的研发、销售及售后服务</w:t>
            </w:r>
            <w:r>
              <w:rPr>
                <w:rFonts w:hint="eastAsia" w:ascii="宋体" w:hAnsi="宋体"/>
                <w:szCs w:val="21"/>
                <w:lang w:val="en-US" w:eastAsia="zh-CN"/>
              </w:rPr>
              <w:t>的</w:t>
            </w:r>
            <w:r>
              <w:rPr>
                <w:rFonts w:hint="eastAsia" w:ascii="宋体" w:hAnsi="宋体" w:cs="宋体"/>
                <w:color w:val="auto"/>
                <w:kern w:val="0"/>
                <w:szCs w:val="21"/>
                <w:lang w:eastAsia="zh-CN"/>
              </w:rPr>
              <w:t>设备在安装时就采取了减震处理，</w:t>
            </w:r>
            <w:r>
              <w:rPr>
                <w:rFonts w:hint="eastAsia" w:ascii="宋体" w:hAnsi="宋体" w:cs="宋体"/>
                <w:color w:val="auto"/>
                <w:kern w:val="0"/>
                <w:szCs w:val="21"/>
                <w:lang w:val="en-US" w:eastAsia="zh-CN"/>
              </w:rPr>
              <w:t>设备主要是办公设备，</w:t>
            </w:r>
            <w:r>
              <w:rPr>
                <w:rFonts w:hint="eastAsia" w:ascii="宋体" w:hAnsi="宋体" w:cs="宋体"/>
                <w:color w:val="auto"/>
                <w:kern w:val="0"/>
                <w:szCs w:val="21"/>
                <w:lang w:eastAsia="zh-CN"/>
              </w:rPr>
              <w:t>产生的噪音符合国标标准要求，同时，公司有规定，在办公区内禁止大声喧哗</w:t>
            </w:r>
          </w:p>
          <w:p>
            <w:pPr>
              <w:pStyle w:val="10"/>
              <w:rPr>
                <w:rFonts w:hint="default" w:ascii="宋体" w:hAnsi="宋体" w:eastAsia="宋体" w:cs="宋体"/>
                <w:b/>
                <w:bCs w:val="0"/>
                <w:color w:val="auto"/>
                <w:kern w:val="0"/>
                <w:szCs w:val="21"/>
                <w:lang w:val="en-US" w:eastAsia="zh-CN"/>
              </w:rPr>
            </w:pPr>
            <w:r>
              <w:rPr>
                <w:rFonts w:hint="eastAsia" w:ascii="宋体" w:hAnsi="宋体" w:cs="宋体"/>
                <w:b/>
                <w:bCs w:val="0"/>
                <w:color w:val="auto"/>
                <w:kern w:val="0"/>
                <w:szCs w:val="21"/>
                <w:lang w:val="en-US" w:eastAsia="zh-CN"/>
              </w:rPr>
              <w:t>3.</w:t>
            </w:r>
            <w:r>
              <w:rPr>
                <w:rFonts w:hint="eastAsia" w:ascii="宋体" w:hAnsi="宋体" w:cs="宋体"/>
                <w:b/>
                <w:bCs w:val="0"/>
                <w:color w:val="auto"/>
                <w:kern w:val="0"/>
                <w:szCs w:val="21"/>
                <w:lang w:eastAsia="zh-CN"/>
              </w:rPr>
              <w:t>废气控制：</w:t>
            </w:r>
            <w:r>
              <w:rPr>
                <w:rFonts w:hint="eastAsia" w:ascii="宋体" w:hAnsi="宋体"/>
                <w:szCs w:val="21"/>
              </w:rPr>
              <w:t>汽车教学设备的研发、销售及售后服务</w:t>
            </w:r>
            <w:r>
              <w:rPr>
                <w:rFonts w:hint="eastAsia" w:ascii="宋体" w:hAnsi="宋体"/>
                <w:szCs w:val="21"/>
                <w:lang w:val="en-US" w:eastAsia="zh-CN"/>
              </w:rPr>
              <w:t>不产生废气，员工打扫卫生会产生些尘土，通过洒水降尘，同时做好个人防护，戴口罩</w:t>
            </w:r>
          </w:p>
          <w:p>
            <w:pPr>
              <w:pStyle w:val="10"/>
              <w:rPr>
                <w:rFonts w:hint="eastAsia" w:ascii="宋体" w:hAnsi="宋体" w:cs="宋体"/>
                <w:color w:val="auto"/>
                <w:kern w:val="0"/>
                <w:szCs w:val="21"/>
                <w:lang w:eastAsia="zh-CN"/>
              </w:rPr>
            </w:pPr>
            <w:r>
              <w:rPr>
                <w:rFonts w:hint="eastAsia" w:ascii="宋体" w:hAnsi="宋体" w:cs="宋体"/>
                <w:color w:val="auto"/>
                <w:kern w:val="0"/>
                <w:szCs w:val="21"/>
                <w:lang w:val="en-US" w:eastAsia="zh-CN"/>
              </w:rPr>
              <w:t>4、</w:t>
            </w:r>
            <w:r>
              <w:rPr>
                <w:rFonts w:hint="eastAsia" w:ascii="宋体" w:hAnsi="宋体" w:cs="宋体"/>
                <w:color w:val="auto"/>
                <w:kern w:val="0"/>
                <w:szCs w:val="21"/>
                <w:lang w:eastAsia="zh-CN"/>
              </w:rPr>
              <w:t>固废控制：</w:t>
            </w:r>
          </w:p>
          <w:p>
            <w:pPr>
              <w:pStyle w:val="1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生活固废：工业园由专门保洁公司，定期收集</w:t>
            </w:r>
          </w:p>
          <w:p>
            <w:pPr>
              <w:pStyle w:val="10"/>
              <w:rPr>
                <w:rFonts w:hint="eastAsia" w:ascii="宋体" w:hAnsi="宋体" w:cs="宋体"/>
                <w:color w:val="auto"/>
                <w:kern w:val="0"/>
                <w:szCs w:val="21"/>
                <w:lang w:eastAsia="zh-CN"/>
              </w:rPr>
            </w:pPr>
            <w:r>
              <w:rPr>
                <w:rFonts w:hint="eastAsia" w:ascii="宋体" w:hAnsi="宋体" w:cs="宋体"/>
                <w:color w:val="auto"/>
                <w:kern w:val="0"/>
                <w:szCs w:val="21"/>
                <w:lang w:eastAsia="zh-CN"/>
              </w:rPr>
              <w:t>能资源管理：公司规定人走灯灭，人走关水等节能节水措施，并互相监督</w:t>
            </w:r>
          </w:p>
          <w:p>
            <w:pPr>
              <w:pStyle w:val="1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火灾事故预防：公司配备有灭火器等消防设施，有应急预案，相关人员经过培训。</w:t>
            </w:r>
          </w:p>
          <w:p>
            <w:pPr>
              <w:pStyle w:val="1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触电：公司专人负责对电箱进行检查和维保，电气线路防护，措施到位，但个别地方存在安全隐患。</w:t>
            </w:r>
          </w:p>
          <w:p>
            <w:pPr>
              <w:pStyle w:val="1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提供人员社保缴费证明</w:t>
            </w:r>
          </w:p>
          <w:p>
            <w:pPr>
              <w:pStyle w:val="10"/>
              <w:rPr>
                <w:rFonts w:hint="default"/>
                <w:lang w:val="en-US" w:eastAsia="zh-CN"/>
              </w:rPr>
            </w:pPr>
            <w:r>
              <w:rPr>
                <w:rFonts w:hint="eastAsia" w:ascii="宋体" w:hAnsi="宋体" w:cs="宋体"/>
                <w:color w:val="auto"/>
                <w:kern w:val="0"/>
                <w:szCs w:val="21"/>
                <w:lang w:val="en-US" w:eastAsia="zh-CN"/>
              </w:rPr>
              <w:t>提供员工体检：检验报告</w:t>
            </w:r>
          </w:p>
          <w:p>
            <w:pPr>
              <w:pStyle w:val="10"/>
              <w:rPr>
                <w:rFonts w:hint="eastAsia" w:ascii="宋体" w:hAnsi="宋体" w:cs="宋体"/>
                <w:color w:val="auto"/>
                <w:kern w:val="0"/>
                <w:szCs w:val="21"/>
                <w:lang w:val="en-US" w:eastAsia="zh-CN"/>
              </w:rPr>
            </w:pPr>
          </w:p>
          <w:p>
            <w:pPr>
              <w:rPr>
                <w:rFonts w:hint="default" w:eastAsia="宋体"/>
                <w:b w:val="0"/>
                <w:bCs w:val="0"/>
                <w:lang w:val="en-US" w:eastAsia="zh-CN"/>
              </w:rPr>
            </w:pPr>
            <w:r>
              <w:rPr>
                <w:rFonts w:hint="eastAsia"/>
                <w:b w:val="0"/>
                <w:bCs w:val="0"/>
                <w:lang w:val="en-US" w:eastAsia="zh-CN"/>
              </w:rPr>
              <w:t>运行基本符合要求二阶段细查</w:t>
            </w:r>
          </w:p>
        </w:tc>
        <w:tc>
          <w:tcPr>
            <w:tcW w:w="1585" w:type="dxa"/>
          </w:tcPr>
          <w:p>
            <w:pPr>
              <w:rPr>
                <w:rFonts w:hint="default" w:eastAsia="宋体"/>
                <w:b w:val="0"/>
                <w:bCs w:val="0"/>
                <w:lang w:val="en-US" w:eastAsia="zh-CN"/>
              </w:rPr>
            </w:pPr>
            <w:r>
              <w:rPr>
                <w:rFonts w:hint="eastAsia"/>
                <w:b w:val="0"/>
                <w:bCs w:val="0"/>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val="0"/>
                <w:bCs w:val="0"/>
              </w:rPr>
            </w:pPr>
            <w:r>
              <w:rPr>
                <w:rFonts w:hint="eastAsia" w:ascii="Times New Roman" w:hAnsi="Times New Roman" w:eastAsia="宋体" w:cs="Lucida Sans"/>
                <w:b w:val="0"/>
                <w:bCs w:val="0"/>
                <w:szCs w:val="20"/>
              </w:rPr>
              <w:t>应急准备和响应</w:t>
            </w:r>
          </w:p>
        </w:tc>
        <w:tc>
          <w:tcPr>
            <w:tcW w:w="960" w:type="dxa"/>
            <w:vAlign w:val="center"/>
          </w:tcPr>
          <w:p>
            <w:pPr>
              <w:rPr>
                <w:rFonts w:ascii="Times New Roman" w:hAnsi="Times New Roman" w:eastAsia="宋体" w:cs="Lucida Sans"/>
                <w:b w:val="0"/>
                <w:bCs w:val="0"/>
                <w:szCs w:val="20"/>
              </w:rPr>
            </w:pPr>
            <w:r>
              <w:rPr>
                <w:rFonts w:ascii="Times New Roman" w:hAnsi="Times New Roman" w:eastAsia="宋体" w:cs="Lucida Sans"/>
                <w:b w:val="0"/>
                <w:bCs w:val="0"/>
                <w:szCs w:val="20"/>
              </w:rPr>
              <w:t>E</w:t>
            </w:r>
            <w:r>
              <w:rPr>
                <w:rFonts w:hint="eastAsia" w:cs="Lucida Sans"/>
                <w:b w:val="0"/>
                <w:bCs w:val="0"/>
                <w:szCs w:val="20"/>
                <w:lang w:val="en-US" w:eastAsia="zh-CN"/>
              </w:rPr>
              <w:t>O</w:t>
            </w:r>
            <w:r>
              <w:rPr>
                <w:rFonts w:ascii="Times New Roman" w:hAnsi="Times New Roman" w:eastAsia="宋体" w:cs="Lucida Sans"/>
                <w:b w:val="0"/>
                <w:bCs w:val="0"/>
                <w:szCs w:val="20"/>
              </w:rPr>
              <w:t>8.2</w:t>
            </w:r>
          </w:p>
          <w:p>
            <w:pPr>
              <w:rPr>
                <w:b w:val="0"/>
                <w:bCs w:val="0"/>
              </w:rPr>
            </w:pPr>
          </w:p>
        </w:tc>
        <w:tc>
          <w:tcPr>
            <w:tcW w:w="10004" w:type="dxa"/>
            <w:vAlign w:val="center"/>
          </w:tcPr>
          <w:p>
            <w:pPr>
              <w:ind w:firstLine="420" w:firstLineChars="200"/>
              <w:rPr>
                <w:rFonts w:hint="default" w:ascii="Times New Roman" w:hAnsi="Times New Roman" w:eastAsia="宋体" w:cs="Lucida Sans"/>
                <w:b w:val="0"/>
                <w:bCs w:val="0"/>
                <w:szCs w:val="20"/>
                <w:lang w:val="en-US" w:eastAsia="zh-CN"/>
              </w:rPr>
            </w:pPr>
            <w:r>
              <w:rPr>
                <w:rFonts w:hint="eastAsia" w:cs="Lucida Sans"/>
                <w:b w:val="0"/>
                <w:bCs w:val="0"/>
                <w:szCs w:val="20"/>
                <w:lang w:val="en-US" w:eastAsia="zh-CN"/>
              </w:rPr>
              <w:t>参加公司统一组织的应急演练活动，具体详见综合部EO8.2审核记录</w:t>
            </w:r>
          </w:p>
          <w:p>
            <w:pPr>
              <w:rPr>
                <w:b w:val="0"/>
                <w:bCs w:val="0"/>
              </w:rPr>
            </w:pPr>
          </w:p>
        </w:tc>
        <w:tc>
          <w:tcPr>
            <w:tcW w:w="1585" w:type="dxa"/>
          </w:tcPr>
          <w:p>
            <w:pPr>
              <w:rPr>
                <w:rFonts w:hint="default" w:eastAsia="宋体"/>
                <w:b w:val="0"/>
                <w:bCs w:val="0"/>
                <w:lang w:val="en-US" w:eastAsia="zh-CN"/>
              </w:rPr>
            </w:pPr>
            <w:r>
              <w:rPr>
                <w:rFonts w:hint="eastAsia"/>
                <w:b w:val="0"/>
                <w:bCs w:val="0"/>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是否具备二阶段审核结论</w:t>
            </w:r>
          </w:p>
          <w:p>
            <w:pPr>
              <w:tabs>
                <w:tab w:val="left" w:pos="7380"/>
              </w:tabs>
              <w:rPr>
                <w:rFonts w:hint="eastAsia" w:ascii="宋体" w:hAnsi="宋体" w:eastAsia="宋体" w:cs="Tahoma"/>
                <w:szCs w:val="21"/>
                <w:lang w:val="en-US" w:eastAsia="zh-CN"/>
              </w:rPr>
            </w:pPr>
          </w:p>
          <w:p>
            <w:pPr>
              <w:spacing w:line="280" w:lineRule="exact"/>
              <w:rPr>
                <w:rFonts w:hint="eastAsia" w:asciiTheme="minorEastAsia" w:hAnsiTheme="minorEastAsia" w:eastAsiaTheme="minorEastAsia" w:cstheme="minorEastAsia"/>
                <w:kern w:val="2"/>
                <w:sz w:val="21"/>
                <w:szCs w:val="21"/>
                <w:lang w:val="en-US" w:eastAsia="zh-CN" w:bidi="ar-SA"/>
              </w:rPr>
            </w:pPr>
            <w:r>
              <w:rPr>
                <w:rFonts w:hint="eastAsia" w:ascii="宋体" w:hAnsi="宋体" w:eastAsia="宋体" w:cs="Tahoma"/>
                <w:szCs w:val="21"/>
                <w:lang w:val="en-US" w:eastAsia="zh-CN"/>
              </w:rPr>
              <w:t>第二阶段重要审核点等相关内容</w:t>
            </w:r>
          </w:p>
        </w:tc>
        <w:tc>
          <w:tcPr>
            <w:tcW w:w="960" w:type="dxa"/>
            <w:vAlign w:val="top"/>
          </w:tcPr>
          <w:p>
            <w:pPr>
              <w:spacing w:line="280" w:lineRule="exact"/>
              <w:rPr>
                <w:rFonts w:hint="eastAsia" w:asciiTheme="minorEastAsia" w:hAnsiTheme="minorEastAsia" w:eastAsiaTheme="minorEastAsia" w:cstheme="minorEastAsia"/>
                <w:kern w:val="2"/>
                <w:sz w:val="21"/>
                <w:szCs w:val="21"/>
                <w:lang w:val="en-US" w:eastAsia="zh-CN" w:bidi="ar-SA"/>
              </w:rPr>
            </w:pPr>
          </w:p>
        </w:tc>
        <w:tc>
          <w:tcPr>
            <w:tcW w:w="10004" w:type="dxa"/>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通过一阶段对受审核方的巡视和观察，对管理体系绩效要求有重大影响的过程、活动、场所和现场运行进行观察、巡视及总体性评价，组织具备二阶段审核条件，可进行二阶段审核。</w:t>
            </w:r>
          </w:p>
          <w:p>
            <w:pPr>
              <w:tabs>
                <w:tab w:val="left" w:pos="7380"/>
              </w:tabs>
              <w:rPr>
                <w:rFonts w:hint="eastAsia" w:ascii="宋体" w:hAnsi="宋体" w:eastAsia="宋体" w:cs="Tahoma"/>
                <w:szCs w:val="21"/>
                <w:lang w:val="en-US" w:eastAsia="zh-CN"/>
              </w:rPr>
            </w:pP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二阶段重点审核：</w:t>
            </w:r>
          </w:p>
          <w:p>
            <w:pPr>
              <w:pStyle w:val="10"/>
              <w:rPr>
                <w:rFonts w:hint="default"/>
                <w:lang w:val="en-US" w:eastAsia="zh-CN"/>
              </w:rPr>
            </w:pPr>
            <w:r>
              <w:rPr>
                <w:rFonts w:hint="eastAsia" w:ascii="宋体" w:hAnsi="宋体" w:cs="Tahoma"/>
                <w:szCs w:val="21"/>
                <w:lang w:val="en-US" w:eastAsia="zh-CN"/>
              </w:rPr>
              <w:t>E</w:t>
            </w:r>
            <w:r>
              <w:rPr>
                <w:rFonts w:hint="eastAsia" w:ascii="宋体" w:hAnsi="宋体" w:eastAsia="宋体" w:cs="Tahoma"/>
                <w:szCs w:val="21"/>
                <w:lang w:val="en-US" w:eastAsia="zh-CN"/>
              </w:rPr>
              <w:t>O:</w:t>
            </w:r>
            <w:r>
              <w:rPr>
                <w:rFonts w:hint="eastAsia" w:ascii="宋体" w:hAnsi="宋体" w:cs="Tahoma"/>
                <w:szCs w:val="21"/>
                <w:lang w:val="en-US" w:eastAsia="zh-CN"/>
              </w:rPr>
              <w:t>环境因素、</w:t>
            </w:r>
            <w:r>
              <w:rPr>
                <w:rFonts w:hint="eastAsia" w:ascii="宋体" w:hAnsi="宋体" w:eastAsia="宋体" w:cs="Tahoma"/>
                <w:szCs w:val="21"/>
                <w:lang w:val="en-US" w:eastAsia="zh-CN"/>
              </w:rPr>
              <w:t>危险源辨识、不可接受风险管理方案、相关方的信息沟通、应急准备和响应控制措施等</w:t>
            </w:r>
          </w:p>
          <w:p>
            <w:pPr>
              <w:tabs>
                <w:tab w:val="left" w:pos="7380"/>
              </w:tabs>
              <w:rPr>
                <w:rFonts w:hint="default" w:ascii="宋体" w:hAnsi="宋体" w:cs="Tahoma"/>
                <w:szCs w:val="21"/>
                <w:lang w:val="en-US" w:eastAsia="zh-CN"/>
              </w:rPr>
            </w:pPr>
            <w:r>
              <w:rPr>
                <w:rFonts w:hint="eastAsia" w:ascii="宋体" w:hAnsi="宋体" w:eastAsia="宋体" w:cs="Tahoma"/>
                <w:szCs w:val="21"/>
                <w:lang w:val="en-US" w:eastAsia="zh-CN"/>
              </w:rPr>
              <w:t>重点审核部门：</w:t>
            </w:r>
            <w:r>
              <w:rPr>
                <w:rFonts w:hint="eastAsia" w:ascii="宋体" w:hAnsi="宋体" w:cs="Tahoma"/>
                <w:szCs w:val="21"/>
                <w:lang w:val="en-US" w:eastAsia="zh-CN"/>
              </w:rPr>
              <w:t>综合部</w:t>
            </w:r>
            <w:r>
              <w:rPr>
                <w:rFonts w:hint="eastAsia" w:ascii="宋体" w:hAnsi="宋体" w:eastAsia="宋体" w:cs="Tahoma"/>
                <w:szCs w:val="21"/>
                <w:lang w:val="en-US" w:eastAsia="zh-CN"/>
              </w:rPr>
              <w:t>、</w:t>
            </w:r>
            <w:r>
              <w:rPr>
                <w:rFonts w:hint="eastAsia" w:ascii="宋体" w:hAnsi="宋体" w:cs="Tahoma"/>
                <w:szCs w:val="21"/>
                <w:lang w:val="en-US" w:eastAsia="zh-CN"/>
              </w:rPr>
              <w:t>技术部</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重点审核过程：风险识别评价、运行过程、监视和测量、不符合控制、合规性评价等。</w:t>
            </w: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重点审核场所：</w:t>
            </w:r>
            <w:r>
              <w:rPr>
                <w:rFonts w:hint="eastAsia" w:ascii="宋体" w:hAnsi="宋体" w:cs="Tahoma"/>
                <w:szCs w:val="21"/>
                <w:lang w:val="en-US" w:eastAsia="zh-CN"/>
              </w:rPr>
              <w:t>研发销售</w:t>
            </w:r>
            <w:r>
              <w:rPr>
                <w:rFonts w:hint="eastAsia" w:ascii="宋体" w:hAnsi="宋体" w:eastAsia="宋体" w:cs="Tahoma"/>
                <w:szCs w:val="21"/>
                <w:lang w:val="en-US" w:eastAsia="zh-CN"/>
              </w:rPr>
              <w:t>场所、办公场所</w:t>
            </w:r>
          </w:p>
          <w:p>
            <w:pPr>
              <w:ind w:firstLine="420" w:firstLineChars="200"/>
              <w:rPr>
                <w:rFonts w:hint="eastAsia" w:ascii="Times New Roman" w:hAnsi="Times New Roman" w:cs="Times New Roman" w:eastAsiaTheme="minorEastAsia"/>
                <w:kern w:val="2"/>
                <w:sz w:val="21"/>
                <w:lang w:val="en-US" w:eastAsia="zh-CN" w:bidi="ar-SA"/>
              </w:rPr>
            </w:pPr>
            <w:r>
              <w:rPr>
                <w:rFonts w:hint="eastAsia" w:ascii="宋体" w:hAnsi="宋体" w:eastAsia="宋体" w:cs="Tahoma"/>
                <w:szCs w:val="21"/>
                <w:lang w:val="en-US" w:eastAsia="zh-CN"/>
              </w:rPr>
              <w:t>审核时间：2020年</w:t>
            </w:r>
            <w:r>
              <w:rPr>
                <w:rFonts w:hint="eastAsia" w:ascii="宋体" w:hAnsi="宋体" w:cs="Tahoma"/>
                <w:szCs w:val="21"/>
                <w:lang w:val="en-US" w:eastAsia="zh-CN"/>
              </w:rPr>
              <w:t>7</w:t>
            </w:r>
            <w:r>
              <w:rPr>
                <w:rFonts w:hint="eastAsia" w:ascii="宋体" w:hAnsi="宋体" w:eastAsia="宋体" w:cs="Tahoma"/>
                <w:szCs w:val="21"/>
                <w:lang w:val="en-US" w:eastAsia="zh-CN"/>
              </w:rPr>
              <w:t>月</w:t>
            </w:r>
            <w:r>
              <w:rPr>
                <w:rFonts w:hint="eastAsia"/>
                <w:color w:val="000000"/>
                <w:szCs w:val="21"/>
                <w:lang w:val="en-US" w:eastAsia="zh-CN"/>
              </w:rPr>
              <w:t>13</w:t>
            </w:r>
            <w:r>
              <w:rPr>
                <w:rFonts w:hint="eastAsia"/>
                <w:color w:val="000000"/>
                <w:szCs w:val="21"/>
              </w:rPr>
              <w:t xml:space="preserve">日 </w:t>
            </w:r>
            <w:r>
              <w:rPr>
                <w:rFonts w:hint="eastAsia"/>
                <w:color w:val="000000"/>
                <w:szCs w:val="21"/>
                <w:lang w:val="en-US" w:eastAsia="zh-CN"/>
              </w:rPr>
              <w:t>上</w:t>
            </w:r>
            <w:r>
              <w:rPr>
                <w:rFonts w:hint="eastAsia"/>
                <w:color w:val="000000"/>
                <w:szCs w:val="21"/>
              </w:rPr>
              <w:t>午</w:t>
            </w:r>
            <w:r>
              <w:rPr>
                <w:rFonts w:hint="eastAsia" w:ascii="宋体" w:hAnsi="宋体" w:cs="Tahoma"/>
                <w:szCs w:val="21"/>
                <w:lang w:val="en-US" w:eastAsia="zh-CN"/>
              </w:rPr>
              <w:t>--</w:t>
            </w:r>
            <w:r>
              <w:rPr>
                <w:rFonts w:hint="eastAsia" w:ascii="宋体" w:hAnsi="宋体" w:eastAsia="宋体" w:cs="Tahoma"/>
                <w:szCs w:val="21"/>
                <w:lang w:val="en-US" w:eastAsia="zh-CN"/>
              </w:rPr>
              <w:t xml:space="preserve"> </w:t>
            </w:r>
            <w:r>
              <w:rPr>
                <w:color w:val="000000"/>
                <w:szCs w:val="21"/>
              </w:rPr>
              <w:t xml:space="preserve"> </w:t>
            </w:r>
            <w:bookmarkStart w:id="0" w:name="审核结束日"/>
            <w:r>
              <w:rPr>
                <w:rFonts w:hint="eastAsia"/>
                <w:color w:val="000000"/>
                <w:szCs w:val="21"/>
              </w:rPr>
              <w:t>20</w:t>
            </w:r>
            <w:r>
              <w:rPr>
                <w:rFonts w:hint="eastAsia"/>
                <w:color w:val="000000"/>
                <w:szCs w:val="21"/>
                <w:lang w:val="en-US" w:eastAsia="zh-CN"/>
              </w:rPr>
              <w:t>21</w:t>
            </w:r>
            <w:r>
              <w:rPr>
                <w:rFonts w:hint="eastAsia"/>
                <w:color w:val="000000"/>
                <w:szCs w:val="21"/>
              </w:rPr>
              <w:t>年</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15</w:t>
            </w:r>
            <w:r>
              <w:rPr>
                <w:rFonts w:hint="eastAsia"/>
                <w:color w:val="000000"/>
                <w:szCs w:val="21"/>
              </w:rPr>
              <w:t xml:space="preserve">日 </w:t>
            </w:r>
            <w:r>
              <w:rPr>
                <w:rFonts w:hint="eastAsia"/>
                <w:color w:val="000000"/>
                <w:szCs w:val="21"/>
                <w:lang w:val="en-US" w:eastAsia="zh-CN"/>
              </w:rPr>
              <w:t>上</w:t>
            </w:r>
            <w:r>
              <w:rPr>
                <w:rFonts w:hint="eastAsia"/>
                <w:color w:val="000000"/>
                <w:szCs w:val="21"/>
              </w:rPr>
              <w:t>午</w:t>
            </w:r>
            <w:bookmarkEnd w:id="0"/>
            <w:bookmarkStart w:id="1" w:name="_GoBack"/>
            <w:bookmarkEnd w:id="1"/>
          </w:p>
        </w:tc>
        <w:tc>
          <w:tcPr>
            <w:tcW w:w="1585" w:type="dxa"/>
          </w:tcPr>
          <w:p>
            <w:pPr>
              <w:rPr>
                <w:rFonts w:hint="eastAsia"/>
                <w:b w:val="0"/>
                <w:bCs w:val="0"/>
                <w:lang w:val="en-US" w:eastAsia="zh-CN"/>
              </w:rPr>
            </w:pPr>
          </w:p>
        </w:tc>
      </w:tr>
    </w:tbl>
    <w:p>
      <w:pPr>
        <w:pStyle w:val="7"/>
      </w:pPr>
    </w:p>
    <w:p>
      <w:pPr>
        <w:pStyle w:val="7"/>
      </w:pPr>
    </w:p>
    <w:p>
      <w:pPr>
        <w:pStyle w:val="7"/>
      </w:pPr>
    </w:p>
    <w:p>
      <w:pPr>
        <w:pStyle w:val="7"/>
      </w:pPr>
    </w:p>
    <w:p>
      <w:pPr>
        <w:pStyle w:val="7"/>
      </w:pPr>
    </w:p>
    <w:p>
      <w:pPr>
        <w:pStyle w:val="7"/>
      </w:pPr>
    </w:p>
    <w:p>
      <w:pPr>
        <w:pStyle w:val="7"/>
      </w:pP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2"/>
      <w:pBdr>
        <w:bottom w:val="none" w:color="auto" w:sz="0" w:space="1"/>
      </w:pBdr>
      <w:spacing w:line="320" w:lineRule="exact"/>
      <w:jc w:val="left"/>
    </w:pPr>
    <w:r>
      <w:pict>
        <v:shape id="_x0000_s4097"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1799B"/>
    <w:rsid w:val="000237F6"/>
    <w:rsid w:val="0003373A"/>
    <w:rsid w:val="000400E2"/>
    <w:rsid w:val="00062E46"/>
    <w:rsid w:val="000840F6"/>
    <w:rsid w:val="00087A33"/>
    <w:rsid w:val="000B020C"/>
    <w:rsid w:val="000C3FF7"/>
    <w:rsid w:val="00116913"/>
    <w:rsid w:val="001707F6"/>
    <w:rsid w:val="00195095"/>
    <w:rsid w:val="001A1C49"/>
    <w:rsid w:val="001A2D7F"/>
    <w:rsid w:val="001A34EF"/>
    <w:rsid w:val="001B43C2"/>
    <w:rsid w:val="001F2625"/>
    <w:rsid w:val="00291FEA"/>
    <w:rsid w:val="002939AD"/>
    <w:rsid w:val="002A2285"/>
    <w:rsid w:val="002A5825"/>
    <w:rsid w:val="002B4406"/>
    <w:rsid w:val="00303DB5"/>
    <w:rsid w:val="00337922"/>
    <w:rsid w:val="00340867"/>
    <w:rsid w:val="00380837"/>
    <w:rsid w:val="00392D45"/>
    <w:rsid w:val="003A198A"/>
    <w:rsid w:val="003F0DE6"/>
    <w:rsid w:val="003F12E0"/>
    <w:rsid w:val="00410914"/>
    <w:rsid w:val="00415DCC"/>
    <w:rsid w:val="00444235"/>
    <w:rsid w:val="004E71EB"/>
    <w:rsid w:val="00536930"/>
    <w:rsid w:val="00552106"/>
    <w:rsid w:val="00562CB3"/>
    <w:rsid w:val="00564E53"/>
    <w:rsid w:val="00586F5B"/>
    <w:rsid w:val="0059120E"/>
    <w:rsid w:val="005D5659"/>
    <w:rsid w:val="00600C20"/>
    <w:rsid w:val="00644FE2"/>
    <w:rsid w:val="00671C34"/>
    <w:rsid w:val="0067640C"/>
    <w:rsid w:val="006B6DFE"/>
    <w:rsid w:val="006C578E"/>
    <w:rsid w:val="006E678B"/>
    <w:rsid w:val="00711AC3"/>
    <w:rsid w:val="007302FD"/>
    <w:rsid w:val="00771E5F"/>
    <w:rsid w:val="007757F3"/>
    <w:rsid w:val="007A7680"/>
    <w:rsid w:val="007E6AEB"/>
    <w:rsid w:val="008534ED"/>
    <w:rsid w:val="008973EE"/>
    <w:rsid w:val="00926D1D"/>
    <w:rsid w:val="00971600"/>
    <w:rsid w:val="009973B4"/>
    <w:rsid w:val="009C28C1"/>
    <w:rsid w:val="009E4939"/>
    <w:rsid w:val="009F7EED"/>
    <w:rsid w:val="00A079CB"/>
    <w:rsid w:val="00A07A6A"/>
    <w:rsid w:val="00A15ED5"/>
    <w:rsid w:val="00A56EAF"/>
    <w:rsid w:val="00A80636"/>
    <w:rsid w:val="00AE0EBA"/>
    <w:rsid w:val="00AF0AAB"/>
    <w:rsid w:val="00B21AC1"/>
    <w:rsid w:val="00B46B2A"/>
    <w:rsid w:val="00B75BC6"/>
    <w:rsid w:val="00B83D4D"/>
    <w:rsid w:val="00BB1411"/>
    <w:rsid w:val="00BF597E"/>
    <w:rsid w:val="00BF5C94"/>
    <w:rsid w:val="00C51A36"/>
    <w:rsid w:val="00C55228"/>
    <w:rsid w:val="00C616A7"/>
    <w:rsid w:val="00CB429C"/>
    <w:rsid w:val="00CE315A"/>
    <w:rsid w:val="00CF0319"/>
    <w:rsid w:val="00D06F59"/>
    <w:rsid w:val="00D8388C"/>
    <w:rsid w:val="00DE45C7"/>
    <w:rsid w:val="00E30F29"/>
    <w:rsid w:val="00E6224C"/>
    <w:rsid w:val="00E7766B"/>
    <w:rsid w:val="00EA77A5"/>
    <w:rsid w:val="00EB0164"/>
    <w:rsid w:val="00EB2230"/>
    <w:rsid w:val="00ED0F62"/>
    <w:rsid w:val="00EE3CE1"/>
    <w:rsid w:val="00F80B81"/>
    <w:rsid w:val="034C51C5"/>
    <w:rsid w:val="0562705E"/>
    <w:rsid w:val="09760BC6"/>
    <w:rsid w:val="09981E28"/>
    <w:rsid w:val="09F551AB"/>
    <w:rsid w:val="0A8A6BA7"/>
    <w:rsid w:val="0B23277A"/>
    <w:rsid w:val="0D4B69C7"/>
    <w:rsid w:val="0EEF4590"/>
    <w:rsid w:val="0F3468D0"/>
    <w:rsid w:val="0F997E93"/>
    <w:rsid w:val="104D1619"/>
    <w:rsid w:val="108219C2"/>
    <w:rsid w:val="10DE7C48"/>
    <w:rsid w:val="11D6584F"/>
    <w:rsid w:val="120D3A2D"/>
    <w:rsid w:val="133E7CE9"/>
    <w:rsid w:val="15371138"/>
    <w:rsid w:val="165737A4"/>
    <w:rsid w:val="16FC641A"/>
    <w:rsid w:val="178A5CE8"/>
    <w:rsid w:val="181E4E80"/>
    <w:rsid w:val="1A0360D4"/>
    <w:rsid w:val="1A091769"/>
    <w:rsid w:val="1ABA03CF"/>
    <w:rsid w:val="1B1D2677"/>
    <w:rsid w:val="1B5D1D69"/>
    <w:rsid w:val="1D390463"/>
    <w:rsid w:val="1D3C6D23"/>
    <w:rsid w:val="1D8E5A11"/>
    <w:rsid w:val="1DA36BB1"/>
    <w:rsid w:val="1E290899"/>
    <w:rsid w:val="22073838"/>
    <w:rsid w:val="225474FE"/>
    <w:rsid w:val="231F2396"/>
    <w:rsid w:val="23237352"/>
    <w:rsid w:val="232665D9"/>
    <w:rsid w:val="248A4DCD"/>
    <w:rsid w:val="25F60562"/>
    <w:rsid w:val="26E62F85"/>
    <w:rsid w:val="29755C6A"/>
    <w:rsid w:val="2B356A43"/>
    <w:rsid w:val="2BB1558C"/>
    <w:rsid w:val="2CD94080"/>
    <w:rsid w:val="2D9475F8"/>
    <w:rsid w:val="2F0E5F1B"/>
    <w:rsid w:val="2FAD3FD0"/>
    <w:rsid w:val="3126251D"/>
    <w:rsid w:val="31AD1AE8"/>
    <w:rsid w:val="31D252EC"/>
    <w:rsid w:val="31F7156A"/>
    <w:rsid w:val="32AB0118"/>
    <w:rsid w:val="339F5F59"/>
    <w:rsid w:val="3427326B"/>
    <w:rsid w:val="351D0083"/>
    <w:rsid w:val="369F4E21"/>
    <w:rsid w:val="3861168A"/>
    <w:rsid w:val="38A222EE"/>
    <w:rsid w:val="3A312611"/>
    <w:rsid w:val="3DF3476E"/>
    <w:rsid w:val="3F0222CC"/>
    <w:rsid w:val="3FAB3A1E"/>
    <w:rsid w:val="401D2006"/>
    <w:rsid w:val="40244DDE"/>
    <w:rsid w:val="408F07D2"/>
    <w:rsid w:val="41AD78F5"/>
    <w:rsid w:val="43542F66"/>
    <w:rsid w:val="43A439C8"/>
    <w:rsid w:val="44B81226"/>
    <w:rsid w:val="45AA1E1F"/>
    <w:rsid w:val="462D7215"/>
    <w:rsid w:val="46A47E45"/>
    <w:rsid w:val="47230452"/>
    <w:rsid w:val="49586EA8"/>
    <w:rsid w:val="49822AC3"/>
    <w:rsid w:val="4BCD6209"/>
    <w:rsid w:val="4DCB6A41"/>
    <w:rsid w:val="4EA95B28"/>
    <w:rsid w:val="51107B5F"/>
    <w:rsid w:val="51152F83"/>
    <w:rsid w:val="51562946"/>
    <w:rsid w:val="528C1234"/>
    <w:rsid w:val="53E33F86"/>
    <w:rsid w:val="5513591F"/>
    <w:rsid w:val="55B4200A"/>
    <w:rsid w:val="55D3314C"/>
    <w:rsid w:val="58455CA1"/>
    <w:rsid w:val="59D15B05"/>
    <w:rsid w:val="5A076719"/>
    <w:rsid w:val="5EA12B9A"/>
    <w:rsid w:val="5FAF1CEF"/>
    <w:rsid w:val="616A3A39"/>
    <w:rsid w:val="62CC6143"/>
    <w:rsid w:val="62D77D40"/>
    <w:rsid w:val="63A828F7"/>
    <w:rsid w:val="63C255F7"/>
    <w:rsid w:val="644843F8"/>
    <w:rsid w:val="64687842"/>
    <w:rsid w:val="646E474A"/>
    <w:rsid w:val="64711015"/>
    <w:rsid w:val="66956685"/>
    <w:rsid w:val="67D077E9"/>
    <w:rsid w:val="6A675D38"/>
    <w:rsid w:val="6CC16803"/>
    <w:rsid w:val="6CCA2D7D"/>
    <w:rsid w:val="6D9020D6"/>
    <w:rsid w:val="6EA36731"/>
    <w:rsid w:val="6F611BF9"/>
    <w:rsid w:val="6FE16B9E"/>
    <w:rsid w:val="707E7B4E"/>
    <w:rsid w:val="718314ED"/>
    <w:rsid w:val="74421025"/>
    <w:rsid w:val="748B1532"/>
    <w:rsid w:val="753B6A83"/>
    <w:rsid w:val="755B24E3"/>
    <w:rsid w:val="76920644"/>
    <w:rsid w:val="7738099C"/>
    <w:rsid w:val="77A81EE5"/>
    <w:rsid w:val="77B06974"/>
    <w:rsid w:val="7A041EA6"/>
    <w:rsid w:val="7D220426"/>
    <w:rsid w:val="7DF35C09"/>
    <w:rsid w:val="7E46108E"/>
    <w:rsid w:val="7F085A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0"/>
    <w:pPr>
      <w:spacing w:after="120"/>
    </w:pPr>
  </w:style>
  <w:style w:type="paragraph" w:styleId="4">
    <w:name w:val="Plain Text"/>
    <w:basedOn w:val="1"/>
    <w:link w:val="17"/>
    <w:qFormat/>
    <w:uiPriority w:val="0"/>
    <w:rPr>
      <w:rFonts w:ascii="宋体" w:hAnsi="Courier New"/>
      <w:szCs w:val="21"/>
    </w:rPr>
  </w:style>
  <w:style w:type="paragraph" w:styleId="5">
    <w:name w:val="Body Text Indent 2"/>
    <w:basedOn w:val="1"/>
    <w:qFormat/>
    <w:uiPriority w:val="0"/>
    <w:pPr>
      <w:ind w:firstLine="560" w:firstLineChars="200"/>
    </w:pPr>
    <w:rPr>
      <w:rFonts w:ascii="宋体" w:hAnsi="宋体"/>
      <w:sz w:val="28"/>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customStyle="1" w:styleId="10">
    <w:name w:val="表格文字"/>
    <w:basedOn w:val="1"/>
    <w:qFormat/>
    <w:uiPriority w:val="0"/>
    <w:pPr>
      <w:spacing w:before="25" w:after="25"/>
    </w:pPr>
    <w:rPr>
      <w:bCs/>
      <w:spacing w:val="10"/>
    </w:rPr>
  </w:style>
  <w:style w:type="character" w:customStyle="1" w:styleId="11">
    <w:name w:val="页眉 Char"/>
    <w:basedOn w:val="9"/>
    <w:link w:val="2"/>
    <w:qFormat/>
    <w:uiPriority w:val="99"/>
    <w:rPr>
      <w:rFonts w:ascii="Times New Roman" w:hAnsi="Times New Roman" w:eastAsia="宋体" w:cs="Times New Roman"/>
      <w:sz w:val="18"/>
      <w:szCs w:val="18"/>
    </w:rPr>
  </w:style>
  <w:style w:type="character" w:customStyle="1" w:styleId="12">
    <w:name w:val="页脚 Char"/>
    <w:basedOn w:val="9"/>
    <w:link w:val="7"/>
    <w:qFormat/>
    <w:uiPriority w:val="99"/>
    <w:rPr>
      <w:rFonts w:ascii="Times New Roman" w:hAnsi="Times New Roman" w:eastAsia="宋体" w:cs="Times New Roman"/>
      <w:sz w:val="18"/>
      <w:szCs w:val="18"/>
    </w:rPr>
  </w:style>
  <w:style w:type="character" w:customStyle="1" w:styleId="13">
    <w:name w:val="批注框文本 Char"/>
    <w:basedOn w:val="9"/>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Char"/>
    <w:basedOn w:val="1"/>
    <w:qFormat/>
    <w:uiPriority w:val="0"/>
    <w:pPr>
      <w:widowControl/>
      <w:spacing w:after="160" w:line="240" w:lineRule="exact"/>
      <w:jc w:val="left"/>
    </w:pPr>
  </w:style>
  <w:style w:type="paragraph" w:styleId="16">
    <w:name w:val="List Paragraph"/>
    <w:basedOn w:val="1"/>
    <w:unhideWhenUsed/>
    <w:qFormat/>
    <w:uiPriority w:val="99"/>
    <w:pPr>
      <w:ind w:firstLine="420" w:firstLineChars="200"/>
    </w:pPr>
  </w:style>
  <w:style w:type="character" w:customStyle="1" w:styleId="17">
    <w:name w:val="纯文本 Char"/>
    <w:link w:val="4"/>
    <w:qFormat/>
    <w:uiPriority w:val="0"/>
    <w:rPr>
      <w:rFonts w:ascii="宋体" w:hAnsi="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1554</Words>
  <Characters>8864</Characters>
  <Lines>73</Lines>
  <Paragraphs>20</Paragraphs>
  <TotalTime>0</TotalTime>
  <ScaleCrop>false</ScaleCrop>
  <LinksUpToDate>false</LinksUpToDate>
  <CharactersWithSpaces>10398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2021-07-14T14:25:30Z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7D79778422D54A84A9283D6A251E8DCF</vt:lpwstr>
  </property>
</Properties>
</file>