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13"/>
        <w:gridCol w:w="194"/>
        <w:gridCol w:w="90"/>
        <w:gridCol w:w="453"/>
        <w:gridCol w:w="237"/>
        <w:gridCol w:w="700"/>
        <w:gridCol w:w="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183"/>
        <w:gridCol w:w="242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四川懿之汇贸易有限公司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四川省内江市资中县水南镇资州大道南三段15号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陈老师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15884817212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童德全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0231-2019-QEO-2021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O:监查2,E:监查2,Q:监查2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O：许可范围内的普通货物道路运输及相关职业健康安全管理活动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E：许可范围内的普通货物道路运输及相关环境管理活动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Q：许可范围内的普通货物道路运输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O：31.04.01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Q：31.04.01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2021年07月13日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2021年07月13日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116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80" w:type="dxa"/>
            <w:gridSpan w:val="1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62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817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</w:t>
            </w:r>
          </w:p>
        </w:tc>
        <w:tc>
          <w:tcPr>
            <w:tcW w:w="1622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8：30-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16：30（中午含1小时午餐时间）</w:t>
            </w:r>
          </w:p>
        </w:tc>
        <w:tc>
          <w:tcPr>
            <w:tcW w:w="937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880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7.1.6组织知识；7.4沟通；9.1.1监测、分析和评价总则；9.2内部审核； 9.3管理评审；10.1改进 总则；10.3持续改进</w:t>
            </w:r>
          </w:p>
        </w:tc>
        <w:tc>
          <w:tcPr>
            <w:tcW w:w="1622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  <w:gridSpan w:val="12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 9.3管理评审；10.1改进 总则；10.3持续改进</w:t>
            </w:r>
          </w:p>
        </w:tc>
        <w:tc>
          <w:tcPr>
            <w:tcW w:w="1622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8：30-10：00</w:t>
            </w:r>
          </w:p>
        </w:tc>
        <w:tc>
          <w:tcPr>
            <w:tcW w:w="937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  <w:gridSpan w:val="12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5.4工作人员的协商和参与；</w:t>
            </w:r>
            <w:bookmarkStart w:id="18" w:name="_GoBack"/>
            <w:bookmarkEnd w:id="18"/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范围的确认，资质的确认，法律法规执行情况，投诉或事故/政府主管部门监督抽查情况，上次不符合验证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ES9.1.2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。</w:t>
            </w:r>
          </w:p>
        </w:tc>
        <w:tc>
          <w:tcPr>
            <w:tcW w:w="1622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8：30-12：00</w:t>
            </w:r>
          </w:p>
        </w:tc>
        <w:tc>
          <w:tcPr>
            <w:tcW w:w="937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综合部（含财务）</w:t>
            </w:r>
          </w:p>
        </w:tc>
        <w:tc>
          <w:tcPr>
            <w:tcW w:w="5880" w:type="dxa"/>
            <w:gridSpan w:val="12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8.4外部提供供方的控制；</w:t>
            </w:r>
          </w:p>
        </w:tc>
        <w:tc>
          <w:tcPr>
            <w:tcW w:w="1622" w:type="dxa"/>
            <w:gridSpan w:val="3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10：00-12：00</w:t>
            </w:r>
          </w:p>
        </w:tc>
        <w:tc>
          <w:tcPr>
            <w:tcW w:w="937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5880" w:type="dxa"/>
            <w:gridSpan w:val="12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5.3组织的角色、职责和权限；6.2目标及其达成的策划；6.1.2环境因素；6.1.3合规义务；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8.1运行策划和控制；8.2应急准备和响应；9.1监视、测量、分析与评估；9.1.2符合性评估（上次不符合验证）；10.2不符合和纠正措施；10.3持续改进/EMS运行控制相关财务支出证据</w:t>
            </w:r>
          </w:p>
        </w:tc>
        <w:tc>
          <w:tcPr>
            <w:tcW w:w="1622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13：00-14：30</w:t>
            </w:r>
          </w:p>
        </w:tc>
        <w:tc>
          <w:tcPr>
            <w:tcW w:w="937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5880" w:type="dxa"/>
            <w:gridSpan w:val="12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（上次不符合验证）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；10.1事件、不符合和纠正措施；10.2持续改进/OHSMS运行控制财务支出证据。</w:t>
            </w:r>
          </w:p>
        </w:tc>
        <w:tc>
          <w:tcPr>
            <w:tcW w:w="1622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13：00-16：30</w:t>
            </w:r>
          </w:p>
        </w:tc>
        <w:tc>
          <w:tcPr>
            <w:tcW w:w="937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运营部</w:t>
            </w:r>
          </w:p>
        </w:tc>
        <w:tc>
          <w:tcPr>
            <w:tcW w:w="5880" w:type="dxa"/>
            <w:gridSpan w:val="12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7.1.3基础设施；7.1.4过程运行环境；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8.2产品和服务的要求； 8.5.2标识和可追溯性；8.5.3顾客或外部供方的财产；8.5.4防护；8.5.5交付后的活动；8.5.6更改控制； 9.1.2顾客满意；</w:t>
            </w:r>
          </w:p>
        </w:tc>
        <w:tc>
          <w:tcPr>
            <w:tcW w:w="1622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14：30-16：30</w:t>
            </w:r>
          </w:p>
        </w:tc>
        <w:tc>
          <w:tcPr>
            <w:tcW w:w="937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5880" w:type="dxa"/>
            <w:gridSpan w:val="12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8.1运行策划和控制； 8.3设计开发控制； 8.5.1生产和服务提供的控制； 8.6产品和服务放行；8.7不合格输出的控制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5.3组织的角色、职责和权限、6.2质量目标及其实现的策划；6.1.2环境因素；7.4沟通；8.1运行策划和控制；8.2应急准备和响应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622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817" w:type="dxa"/>
            <w:gridSpan w:val="14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162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7F2877"/>
    <w:rsid w:val="79EE1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2021-07-12T08:08:29Z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3974ED12E17F400B8D313DF710D436EF</vt:lpwstr>
  </property>
</Properties>
</file>