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重庆卫士盾保安服务有限公司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胡婷婷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签订合同——人员派驻——实施服务——满意度回访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保安服务流程风险：人员素质、服务质量达到客户要求、服务过程人员安全风险等；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火灾和固废排放，采取管理方案和应急预案控制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火灾和意外伤害，采取应急预案、管理方案和培训管理进行控制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《保安服务管理条例》、《中华人民共和国消费者权益保护法》、《中华人民共和国安全消防法》、《中华人民共和国劳动合同法》、《中华人民共和国安全生产法》等。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保安服务考核内容：服务质量（安全性、及时性、态度等）；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133350</wp:posOffset>
            </wp:positionV>
            <wp:extent cx="800100" cy="443230"/>
            <wp:effectExtent l="0" t="0" r="7620" b="13970"/>
            <wp:wrapNone/>
            <wp:docPr id="5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64135</wp:posOffset>
            </wp:positionV>
            <wp:extent cx="634365" cy="400685"/>
            <wp:effectExtent l="0" t="0" r="5715" b="10795"/>
            <wp:wrapNone/>
            <wp:docPr id="6" name="图片 18" descr="962d336a2020d6789fbdd094ab0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8" descr="962d336a2020d6789fbdd094ab0f0d0"/>
                    <pic:cNvPicPr>
                      <a:picLocks noChangeAspect="1"/>
                    </pic:cNvPicPr>
                  </pic:nvPicPr>
                  <pic:blipFill>
                    <a:blip r:embed="rId6"/>
                    <a:srcRect l="38850" t="53706" r="34988" b="3100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6360795</wp:posOffset>
            </wp:positionV>
            <wp:extent cx="690245" cy="382270"/>
            <wp:effectExtent l="0" t="0" r="10795" b="1397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6340475</wp:posOffset>
            </wp:positionV>
            <wp:extent cx="634365" cy="400685"/>
            <wp:effectExtent l="0" t="0" r="5715" b="10795"/>
            <wp:wrapNone/>
            <wp:docPr id="4" name="图片 18" descr="962d336a2020d6789fbdd094ab0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962d336a2020d6789fbdd094ab0f0d0"/>
                    <pic:cNvPicPr>
                      <a:picLocks noChangeAspect="1"/>
                    </pic:cNvPicPr>
                  </pic:nvPicPr>
                  <pic:blipFill>
                    <a:blip r:embed="rId6"/>
                    <a:srcRect l="38850" t="53706" r="34988" b="3100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2021.7.12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876E75"/>
    <w:rsid w:val="78430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2021-07-10T03:28:08Z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CD49B1C2F39E46118D60B221CB41542E</vt:lpwstr>
  </property>
</Properties>
</file>