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49"/>
        <w:gridCol w:w="1304"/>
        <w:gridCol w:w="6"/>
        <w:gridCol w:w="567"/>
        <w:gridCol w:w="868"/>
        <w:gridCol w:w="374"/>
        <w:gridCol w:w="75"/>
        <w:gridCol w:w="101"/>
        <w:gridCol w:w="589"/>
        <w:gridCol w:w="261"/>
        <w:gridCol w:w="28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重庆卫士盾保安服务有限公司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重庆市两江新区金开大道1590号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602，7</w:t>
            </w:r>
            <w:r>
              <w:rPr>
                <w:rFonts w:hint="eastAsia"/>
                <w:sz w:val="21"/>
                <w:szCs w:val="21"/>
              </w:rPr>
              <w:t>号房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李永虹</w:t>
            </w:r>
            <w:bookmarkEnd w:id="1"/>
          </w:p>
        </w:tc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18166450975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400050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42" w:type="dxa"/>
            <w:gridSpan w:val="5"/>
            <w:vAlign w:val="center"/>
          </w:tcPr>
          <w:p>
            <w:bookmarkStart w:id="4" w:name="最高管理者"/>
            <w:bookmarkEnd w:id="4"/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</w:rPr>
              <w:t>卢建辉</w:t>
            </w:r>
          </w:p>
        </w:tc>
        <w:tc>
          <w:tcPr>
            <w:tcW w:w="13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4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0558-2021-QEO</w:t>
            </w:r>
            <w:bookmarkEnd w:id="7"/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Q：保安服务（限许可范围内）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E：保安服务（限许可范围内）所涉及场所的相关环境管理活动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O：保安服务（限许可范围内）所涉及场所的相关职业健康安全管理活动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2021年07月12日 上午至2021年07月13日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O:35.12.00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胡婷婷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O:35.12.00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18716235152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638"/>
        <w:gridCol w:w="992"/>
        <w:gridCol w:w="565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8" w:hRule="atLeast"/>
          <w:jc w:val="center"/>
        </w:trPr>
        <w:tc>
          <w:tcPr>
            <w:tcW w:w="10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9：00-12：00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（午休12：00-13：00）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7.1资源；7.4信息和沟通；7.5.1文件化信息总则；9.1监视、测量、分析和评价；9.3管理评审；10.1事件、不符合和纠正措施；10.2持续改进；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张心、冉景洲、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13：00-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17：30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57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张心、胡婷婷（专家）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/权限；6.2质量目标及其实现的策划；7.1.4过程运行环境7.2能力；7.3意识；7.5文件化信息；9.2内部审核；10.2不符合和纠正措施；10.3持续改进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冉景洲、胡婷婷（专家）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6.1.2环境因素；6.1.3合规义务；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：杨珍全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6.2目标及其实现的策划；7.2能力；7.3意识；7.4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/OHSMS运行控制财务支出证据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张心、冉景洲、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杨珍全、胡婷婷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38" w:type="dxa"/>
            <w:tcBorders>
              <w:top w:val="single" w:color="auto" w:sz="4" w:space="0"/>
            </w:tcBorders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</w:rPr>
              <w:t>8:30-</w:t>
            </w:r>
            <w:r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  <w:lang w:val="en-US" w:eastAsia="zh-CN"/>
              </w:rPr>
              <w:t>00</w:t>
            </w:r>
          </w:p>
          <w:p>
            <w:pPr>
              <w:snapToGrid w:val="0"/>
              <w:spacing w:line="240" w:lineRule="auto"/>
              <w:jc w:val="both"/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  <w:t>在项目现场审核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  <w:t>2）12：00-13：30回公司（含午餐）；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 w:cs="新宋体"/>
                <w:b w:val="0"/>
                <w:bCs w:val="0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  <w:lang w:val="en-US" w:eastAsia="zh-CN"/>
              </w:rPr>
              <w:t>3）13：30-15:30</w:t>
            </w:r>
            <w:r>
              <w:rPr>
                <w:rFonts w:hint="eastAsia" w:ascii="宋体" w:hAnsi="宋体" w:cs="新宋体"/>
                <w:b w:val="0"/>
                <w:bCs w:val="0"/>
                <w:color w:val="FF0000"/>
                <w:sz w:val="18"/>
                <w:szCs w:val="18"/>
                <w:highlight w:val="none"/>
                <w:lang w:val="en-US" w:eastAsia="zh-CN"/>
              </w:rPr>
              <w:t>在公司审核；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（含临时</w:t>
            </w:r>
            <w:bookmarkStart w:id="16" w:name="_GoBack"/>
            <w:bookmarkEnd w:id="16"/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场所）</w:t>
            </w: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杨珍全、胡婷婷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8：30-17：00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（午休12：00-13：00）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9.1.2顾客满意；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657" w:type="dxa"/>
          </w:tcPr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15"/>
                <w:szCs w:val="15"/>
              </w:rPr>
            </w:pPr>
          </w:p>
        </w:tc>
        <w:tc>
          <w:tcPr>
            <w:tcW w:w="5657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4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8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70CBC"/>
    <w:rsid w:val="116F298F"/>
    <w:rsid w:val="1B7D77E3"/>
    <w:rsid w:val="266B5E61"/>
    <w:rsid w:val="286E1102"/>
    <w:rsid w:val="29AF4B38"/>
    <w:rsid w:val="2D4B1430"/>
    <w:rsid w:val="34BB28C5"/>
    <w:rsid w:val="3A1B640C"/>
    <w:rsid w:val="5B7603DB"/>
    <w:rsid w:val="6ADA3093"/>
    <w:rsid w:val="7E333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2021-07-30T00:59:02Z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A58B2194418A49A8B780BBE0A799DE03</vt:lpwstr>
  </property>
</Properties>
</file>