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</w:rPr>
        <w:t>层、</w:t>
      </w:r>
      <w:r>
        <w:rPr>
          <w:rFonts w:hint="eastAsia"/>
          <w:sz w:val="24"/>
          <w:szCs w:val="24"/>
          <w:lang w:val="en-US" w:eastAsia="zh-CN"/>
        </w:rPr>
        <w:t>行政</w:t>
      </w:r>
      <w:r>
        <w:rPr>
          <w:rFonts w:hint="eastAsia"/>
          <w:sz w:val="24"/>
          <w:szCs w:val="24"/>
        </w:rPr>
        <w:t>部、</w:t>
      </w:r>
      <w:r>
        <w:rPr>
          <w:rFonts w:hint="eastAsia"/>
          <w:sz w:val="24"/>
          <w:szCs w:val="24"/>
          <w:lang w:val="en-US" w:eastAsia="zh-CN"/>
        </w:rPr>
        <w:t>项目部、市场</w:t>
      </w:r>
      <w:r>
        <w:rPr>
          <w:rFonts w:hint="eastAsia"/>
          <w:sz w:val="24"/>
          <w:szCs w:val="24"/>
          <w:lang w:eastAsia="zh-CN"/>
        </w:rPr>
        <w:t>部、</w:t>
      </w:r>
      <w:r>
        <w:rPr>
          <w:rFonts w:hint="eastAsia"/>
          <w:sz w:val="24"/>
          <w:szCs w:val="24"/>
          <w:lang w:val="en-US" w:eastAsia="zh-CN"/>
        </w:rPr>
        <w:t xml:space="preserve">财务部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陪同人员：</w:t>
      </w:r>
      <w:bookmarkStart w:id="0" w:name="联系人"/>
      <w:r>
        <w:rPr>
          <w:rFonts w:hint="eastAsia"/>
          <w:sz w:val="24"/>
          <w:szCs w:val="24"/>
          <w:lang w:val="en-US" w:eastAsia="zh-CN"/>
        </w:rPr>
        <w:t>李永虹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>杨珍全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cs="Times New Roman"/>
          <w:sz w:val="24"/>
          <w:szCs w:val="24"/>
          <w:lang w:val="en-US" w:eastAsia="zh-CN"/>
        </w:rPr>
        <w:t>胡婷婷（专家）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bookmarkStart w:id="1" w:name="审核开始日"/>
      <w:r>
        <w:rPr>
          <w:rFonts w:hint="eastAsia"/>
          <w:color w:val="000000"/>
          <w:szCs w:val="21"/>
        </w:rPr>
        <w:t>202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7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10</w:t>
      </w:r>
      <w:r>
        <w:rPr>
          <w:rFonts w:hint="eastAsia"/>
          <w:color w:val="000000"/>
          <w:szCs w:val="21"/>
        </w:rPr>
        <w:t>日</w:t>
      </w:r>
      <w:bookmarkEnd w:id="1"/>
    </w:p>
    <w:tbl>
      <w:tblPr>
        <w:tblStyle w:val="7"/>
        <w:tblW w:w="151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14"/>
        <w:gridCol w:w="9557"/>
        <w:gridCol w:w="22"/>
        <w:gridCol w:w="1003"/>
        <w:gridCol w:w="829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25" w:type="dxa"/>
            <w:gridSpan w:val="5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胡婷婷（专家）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71" w:type="dxa"/>
            <w:gridSpan w:val="2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25" w:type="dxa"/>
            <w:gridSpan w:val="2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2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>
            <w:pPr>
              <w:spacing w:line="0" w:lineRule="atLeas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bookmarkStart w:id="2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重庆卫士盾保安服务有限公司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成立于20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12月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，公司发展方向将立足重庆，着眼西南，辐射全国；坚持“规范诚信、高效共赢、优质服务、永保平安”的经营理念。现有员工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人，目前经营情况良好。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企业提供有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保安服务许可证、编号：渝公保服20200035号，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附件。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项目部、市场</w:t>
            </w:r>
            <w:r>
              <w:rPr>
                <w:rFonts w:hint="eastAsia" w:ascii="宋体" w:hAnsi="宋体"/>
                <w:szCs w:val="21"/>
                <w:lang w:eastAsia="zh-CN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pStyle w:val="9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有变更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变更前：</w:t>
            </w:r>
            <w:bookmarkStart w:id="3" w:name="生产地址"/>
            <w:r>
              <w:t>重庆市南岸区回龙路86号附52号</w:t>
            </w:r>
            <w:bookmarkEnd w:id="3"/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spacing w:line="240" w:lineRule="atLeast"/>
              <w:ind w:left="630" w:leftChars="300" w:firstLine="2100" w:firstLineChars="10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变更后：</w:t>
            </w:r>
            <w:r>
              <w:rPr>
                <w:rFonts w:hint="eastAsia"/>
              </w:rPr>
              <w:t>重庆市两江新区金开大道1590号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  <w:lang w:val="en-US" w:eastAsia="zh-CN"/>
              </w:rPr>
              <w:t>602，7</w:t>
            </w:r>
            <w:r>
              <w:rPr>
                <w:rFonts w:hint="eastAsia"/>
              </w:rPr>
              <w:t>号房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临时服务场所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重庆市九龙坡区奥体路1-48号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t>，与申报资料一致。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bookmarkStart w:id="4" w:name="审核范围"/>
            <w:r>
              <w:rPr>
                <w:rFonts w:hint="eastAsia" w:ascii="宋体" w:hAnsi="宋体"/>
                <w:szCs w:val="21"/>
                <w:highlight w:val="none"/>
              </w:rPr>
              <w:t>Q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Cs w:val="21"/>
              </w:rPr>
              <w:t>保安服务（限许可范围内）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  <w:r>
              <w:rPr>
                <w:sz w:val="20"/>
              </w:rPr>
              <w:t>保安服务（限许可范围内）所涉及场所的相关环境管理活动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O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HSMS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  <w:bookmarkEnd w:id="4"/>
            <w:r>
              <w:rPr>
                <w:sz w:val="20"/>
              </w:rPr>
              <w:t>保安服务（限许可范围内）所涉及场所的相关职业健康安全管理活动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   询问，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公司配置的设备主要有电脑、打印机、橡胶棒、手电筒、防爆棍/杈等</w:t>
            </w:r>
            <w:r>
              <w:rPr>
                <w:rStyle w:val="14"/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关键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/确认过程：服务过程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Times New Roman"/>
                <w:szCs w:val="21"/>
              </w:rPr>
              <w:t>层、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项目部、市场</w:t>
            </w:r>
            <w:r>
              <w:rPr>
                <w:rFonts w:hint="eastAsia" w:ascii="宋体" w:hAnsi="宋体"/>
                <w:szCs w:val="21"/>
                <w:lang w:eastAsia="zh-CN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 w:eastAsia="宋体" w:cs="Times New Roman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eastAsia="zh-CN"/>
              </w:rPr>
              <w:t>管理手册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25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9571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质量方针：规范诚信、高效共赢 优质服务、永保平安</w:t>
            </w:r>
          </w:p>
          <w:p>
            <w:pPr>
              <w:ind w:left="1446" w:hanging="1260" w:hangingChars="6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环境方针：坚持走可持续发展之路，倡导绿色环保思想，遵守法律法规，从服务的全过程污染预防和持续改进。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职业健康安全方针：以人为本  永续发展 遵守法规  持续改进</w:t>
            </w:r>
          </w:p>
          <w:p>
            <w:pPr>
              <w:spacing w:line="400" w:lineRule="exact"/>
              <w:rPr>
                <w:rFonts w:ascii="宋体" w:hAnsi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</w:rPr>
              <w:t>质量/环境/职业健康安全目标、指标</w:t>
            </w:r>
            <w:r>
              <w:rPr>
                <w:rFonts w:ascii="宋体" w:hAnsi="宋体"/>
                <w:b w:val="0"/>
                <w:bCs/>
                <w:color w:val="000000" w:themeColor="text1"/>
                <w:sz w:val="21"/>
                <w:szCs w:val="21"/>
              </w:rPr>
              <w:t>:</w:t>
            </w:r>
          </w:p>
          <w:p>
            <w:pPr>
              <w:pStyle w:val="3"/>
              <w:snapToGrid w:val="0"/>
              <w:spacing w:line="360" w:lineRule="auto"/>
              <w:ind w:firstLine="457" w:firstLineChars="218"/>
              <w:rPr>
                <w:rFonts w:hint="eastAsia" w:asci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1"/>
                <w:szCs w:val="21"/>
              </w:rPr>
              <w:t>1) 客户满意率达90% 以上；</w:t>
            </w:r>
          </w:p>
          <w:p>
            <w:pPr>
              <w:pStyle w:val="3"/>
              <w:snapToGrid w:val="0"/>
              <w:spacing w:line="360" w:lineRule="auto"/>
              <w:ind w:firstLine="457" w:firstLineChars="218"/>
              <w:rPr>
                <w:rFonts w:hint="eastAsia" w:asci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1"/>
                <w:szCs w:val="21"/>
              </w:rPr>
              <w:t>2) 固体废弃物分类收集处理率100%</w:t>
            </w:r>
          </w:p>
          <w:p>
            <w:pPr>
              <w:pStyle w:val="3"/>
              <w:snapToGrid w:val="0"/>
              <w:spacing w:line="360" w:lineRule="auto"/>
              <w:ind w:firstLine="457" w:firstLineChars="218"/>
              <w:rPr>
                <w:rFonts w:hint="eastAsia" w:asci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1"/>
                <w:szCs w:val="21"/>
              </w:rPr>
              <w:t>3) 人员轻伤事故≤5人次</w:t>
            </w:r>
          </w:p>
          <w:p>
            <w:pPr>
              <w:pStyle w:val="3"/>
              <w:snapToGrid w:val="0"/>
              <w:spacing w:line="360" w:lineRule="auto"/>
              <w:ind w:firstLine="457" w:firstLineChars="218"/>
              <w:rPr>
                <w:rFonts w:hint="eastAsia" w:asci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1"/>
                <w:szCs w:val="21"/>
              </w:rPr>
              <w:t>4) 杜绝重大暴力事故和伤亡事故</w:t>
            </w:r>
          </w:p>
          <w:p>
            <w:pPr>
              <w:pStyle w:val="3"/>
              <w:snapToGrid w:val="0"/>
              <w:spacing w:line="360" w:lineRule="auto"/>
              <w:ind w:firstLine="457" w:firstLineChars="218"/>
              <w:rPr>
                <w:rFonts w:hint="eastAsia" w:asci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sz w:val="21"/>
                <w:szCs w:val="21"/>
              </w:rPr>
              <w:t>5) 杜绝火灾事故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拟定有管理方案和预案。</w:t>
            </w:r>
          </w:p>
        </w:tc>
        <w:tc>
          <w:tcPr>
            <w:tcW w:w="1025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2021年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组长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李永虹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组员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刘泽华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见有：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《内审不符合项报告》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份，涉及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E/S8.1条款“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办公区域垃圾桶没有分类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，针对该不符合出合规性评价的项，已及时采取纠正措施后，经内审员验证关闭。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有《内部审核报告》，有审核结论。</w:t>
            </w:r>
          </w:p>
        </w:tc>
        <w:tc>
          <w:tcPr>
            <w:tcW w:w="1025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  <w:r>
              <w:rPr>
                <w:rFonts w:hint="eastAsia" w:ascii="宋体" w:hAnsi="宋体"/>
                <w:szCs w:val="21"/>
                <w:highlight w:val="none"/>
              </w:rPr>
              <w:t>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管理评审于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Cs w:val="21"/>
                <w:highlight w:val="none"/>
              </w:rPr>
              <w:t>由总</w:t>
            </w:r>
            <w:r>
              <w:rPr>
                <w:rFonts w:hint="eastAsia" w:ascii="宋体" w:hAnsi="宋体" w:cs="Times New Roman"/>
                <w:kern w:val="0"/>
                <w:szCs w:val="21"/>
                <w:highlight w:val="none"/>
              </w:rPr>
              <w:t>经理</w:t>
            </w:r>
            <w:r>
              <w:rPr>
                <w:rFonts w:hint="eastAsia" w:ascii="宋体" w:hAnsi="宋体" w:cs="Times New Roman"/>
                <w:kern w:val="0"/>
                <w:szCs w:val="21"/>
                <w:highlight w:val="none"/>
                <w:lang w:val="en-US" w:eastAsia="zh-CN"/>
              </w:rPr>
              <w:t>卢建辉主</w:t>
            </w:r>
            <w:r>
              <w:rPr>
                <w:rFonts w:hint="eastAsia" w:ascii="宋体" w:hAnsi="宋体" w:cs="Times New Roman"/>
                <w:kern w:val="0"/>
                <w:szCs w:val="21"/>
                <w:highlight w:val="none"/>
              </w:rPr>
              <w:t>持完</w:t>
            </w:r>
            <w:r>
              <w:rPr>
                <w:rFonts w:hint="eastAsia" w:ascii="宋体" w:hAnsi="宋体"/>
                <w:szCs w:val="21"/>
                <w:highlight w:val="none"/>
              </w:rPr>
              <w:t>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提出以下改进内容：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部分员工环境安全意识不强，需要加强相关方面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的培训。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查见管理评审改进计划验证：2021年5月6日行政部针对环境安全相关知识进行了培训，提供有培训记录表，培训达到预期效果，培训有效。评价人：卢建辉。</w:t>
            </w:r>
          </w:p>
        </w:tc>
        <w:tc>
          <w:tcPr>
            <w:tcW w:w="1025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701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pStyle w:val="9"/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pStyle w:val="9"/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pStyle w:val="9"/>
            </w:pPr>
          </w:p>
          <w:p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pStyle w:val="9"/>
              <w:spacing w:line="240" w:lineRule="auto"/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579" w:type="dxa"/>
            <w:gridSpan w:val="2"/>
          </w:tcPr>
          <w:p>
            <w:pPr>
              <w:spacing w:line="400" w:lineRule="exact"/>
            </w:pPr>
            <w:r>
              <w:rPr>
                <w:rFonts w:hint="eastAsia"/>
              </w:rPr>
              <w:t>中华人民共和国合同法、中华人民共和国劳动法、中华人民共和国安全消防法、中华人民共和国劳动合同法、</w:t>
            </w:r>
            <w:r>
              <w:t>中华人民共和国产品质量法</w:t>
            </w:r>
            <w:r>
              <w:rPr>
                <w:rFonts w:hint="eastAsia"/>
              </w:rPr>
              <w:t>、中华人民共和国安全生产法等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不适应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不适应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《保安服务管理条例》、合同协议等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《污水排入城镇下水道水质标准》（GB/T31962-2015）表1中B级标准；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r>
              <w:rPr>
                <w:rFonts w:hint="eastAsia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日进行了合规性评价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不适应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不适应</w:t>
            </w:r>
          </w:p>
          <w:p>
            <w:pPr>
              <w:spacing w:line="240" w:lineRule="auto"/>
            </w:pPr>
          </w:p>
          <w:p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t>无质量抽查</w:t>
            </w:r>
          </w:p>
        </w:tc>
        <w:tc>
          <w:tcPr>
            <w:tcW w:w="1003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701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579" w:type="dxa"/>
            <w:gridSpan w:val="2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保安服务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流程：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意向客户洽谈—签订合同—策划服务—人员配置—服务实施—循环检查—客户评价—持续服务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关键/确认过程：服务过程。</w:t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eastAsia" w:ascii="宋体" w:hAnsi="宋体" w:eastAsia="宋体" w:cs="Lucida Sans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Q8.3条款，</w:t>
            </w:r>
            <w:r>
              <w:rPr>
                <w:rFonts w:hint="eastAsia" w:ascii="宋体" w:hAnsi="宋体"/>
                <w:szCs w:val="21"/>
                <w:lang w:eastAsia="zh-CN"/>
              </w:rPr>
              <w:t>理由：</w:t>
            </w:r>
            <w:r>
              <w:rPr>
                <w:rFonts w:hint="eastAsia" w:ascii="宋体" w:hAnsi="宋体" w:eastAsia="宋体" w:cs="Lucida Sans"/>
                <w:sz w:val="21"/>
                <w:szCs w:val="21"/>
              </w:rPr>
              <w:t>由于公司所有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val="en-US" w:eastAsia="zh-CN"/>
              </w:rPr>
              <w:t>保安</w:t>
            </w:r>
            <w:r>
              <w:rPr>
                <w:rFonts w:hint="eastAsia" w:ascii="宋体" w:hAnsi="宋体" w:eastAsia="宋体" w:cs="Lucida Sans"/>
                <w:sz w:val="21"/>
                <w:szCs w:val="21"/>
              </w:rPr>
              <w:t>服务活动均按照国家或行业的相关规定及顾客要求实施，不存在设计和开发活动，在确保管理体系有效性、适宜性的前提下，ISO9001-2015标准“8.3”的“设计和开发”条款进行了不适宜，不影响组织提供满足顾客要求和适用的法律、法规要求的能力或责任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/>
                <w:szCs w:val="21"/>
              </w:rPr>
              <w:t>潜在火灾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；2）</w:t>
            </w:r>
            <w:r>
              <w:rPr>
                <w:rFonts w:hint="eastAsia"/>
                <w:color w:val="000000"/>
                <w:lang w:val="en-US" w:eastAsia="zh-CN"/>
              </w:rPr>
              <w:t>固废的排放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火灾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2）意外伤害（中暑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暴力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伤害</w:t>
            </w:r>
            <w:r>
              <w:rPr>
                <w:rFonts w:hint="eastAsia" w:eastAsia="宋体" w:cs="Times New Roman"/>
                <w:color w:val="000000"/>
                <w:lang w:val="en-US" w:eastAsia="zh-CN"/>
              </w:rPr>
              <w:t>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</w:t>
            </w:r>
            <w:bookmarkStart w:id="5" w:name="_GoBack"/>
            <w:r>
              <w:rPr>
                <w:rFonts w:hint="eastAsia" w:ascii="宋体" w:hAnsi="宋体"/>
                <w:szCs w:val="21"/>
                <w:highlight w:val="none"/>
              </w:rPr>
              <w:t>《消防火灾应急疏散预案》、《反恐防暴应急预案》</w:t>
            </w:r>
            <w:bookmarkEnd w:id="5"/>
            <w:r>
              <w:rPr>
                <w:rFonts w:hint="eastAsia" w:ascii="宋体" w:hAnsi="宋体"/>
                <w:szCs w:val="21"/>
                <w:highlight w:val="none"/>
              </w:rPr>
              <w:t>等，20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日进行了火灾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应急演练。</w:t>
            </w:r>
          </w:p>
        </w:tc>
        <w:tc>
          <w:tcPr>
            <w:tcW w:w="1003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51" w:type="dxa"/>
            <w:gridSpan w:val="2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701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579" w:type="dxa"/>
            <w:gridSpan w:val="2"/>
          </w:tcPr>
          <w:p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原材料主要为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办公及劳保用品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</w:tc>
        <w:tc>
          <w:tcPr>
            <w:tcW w:w="100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51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701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579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现场核实人数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人，与任务书一致。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安保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员</w:t>
            </w:r>
            <w:r>
              <w:rPr>
                <w:rFonts w:hint="eastAsia"/>
                <w:szCs w:val="21"/>
                <w:highlight w:val="none"/>
              </w:rPr>
              <w:t>等。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无。</w:t>
            </w:r>
          </w:p>
        </w:tc>
        <w:tc>
          <w:tcPr>
            <w:tcW w:w="100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851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3701" w:type="dxa"/>
            <w:gridSpan w:val="2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579" w:type="dxa"/>
            <w:gridSpan w:val="2"/>
          </w:tcPr>
          <w:p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电脑及办公设备（含传真机、打印机等）橡胶棒、手电筒、防爆棍/杈等</w:t>
            </w:r>
            <w:r>
              <w:rPr>
                <w:rStyle w:val="14"/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灭火器、消防栓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配电箱、空开等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lang w:val="en-US" w:eastAsia="zh-CN"/>
              </w:rPr>
              <w:t>安保服务质量</w:t>
            </w:r>
            <w:r>
              <w:rPr>
                <w:rFonts w:hint="eastAsia"/>
                <w:szCs w:val="21"/>
              </w:rPr>
              <w:t>采取人为检查、核对</w:t>
            </w:r>
            <w:r>
              <w:rPr>
                <w:rFonts w:hint="eastAsia"/>
                <w:szCs w:val="21"/>
                <w:highlight w:val="none"/>
              </w:rPr>
              <w:t>方式进行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配置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监视和测量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03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Q/E/S:7.1</w:t>
            </w:r>
          </w:p>
          <w:p>
            <w:pPr>
              <w:pStyle w:val="9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Q7.1.3</w:t>
            </w:r>
          </w:p>
          <w:p>
            <w:pPr>
              <w:pStyle w:val="9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Q7.1.5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4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3701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579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写字楼</w:t>
            </w:r>
            <w:r>
              <w:rPr>
                <w:rFonts w:hint="eastAsia" w:ascii="宋体" w:hAnsi="宋体"/>
                <w:szCs w:val="21"/>
                <w:highlight w:val="none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01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79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003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3701" w:type="dxa"/>
            <w:gridSpan w:val="2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579" w:type="dxa"/>
            <w:gridSpan w:val="2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通过一阶段对受审核方的生产场所、办公场所巡视和观察，对管理体系绩效要求有重大影响的过程、活动、场所和现场运行进行观察、巡视及总体性评价，组织具备二阶段审核条件，可进行二阶段审核。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二阶段质量、环境、职业健康安全管理体系宜重点关注（办公过程和安保服务过程中工作质量管控和环境、职业健康安全保护等）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重点审核部门：行政部、市场部、项目部。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重点审核过程：服务提供控制、顾客满意；产品和服务放行等。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重点审核场所：办公场所、服务场所。</w:t>
            </w:r>
          </w:p>
        </w:tc>
        <w:tc>
          <w:tcPr>
            <w:tcW w:w="1003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771088"/>
    <w:rsid w:val="028C5CBA"/>
    <w:rsid w:val="028F5BCE"/>
    <w:rsid w:val="02EC36ED"/>
    <w:rsid w:val="03A60EEB"/>
    <w:rsid w:val="05B50992"/>
    <w:rsid w:val="06995723"/>
    <w:rsid w:val="08AB434F"/>
    <w:rsid w:val="0C1D6BF7"/>
    <w:rsid w:val="0D1F01DB"/>
    <w:rsid w:val="0E9E0DDC"/>
    <w:rsid w:val="12C53017"/>
    <w:rsid w:val="14F317C8"/>
    <w:rsid w:val="154C17B8"/>
    <w:rsid w:val="19572309"/>
    <w:rsid w:val="19665F45"/>
    <w:rsid w:val="1B987D65"/>
    <w:rsid w:val="1D3E6824"/>
    <w:rsid w:val="1EE275EF"/>
    <w:rsid w:val="23B3351D"/>
    <w:rsid w:val="241652BE"/>
    <w:rsid w:val="252A2E55"/>
    <w:rsid w:val="26223D37"/>
    <w:rsid w:val="2860346C"/>
    <w:rsid w:val="2AB714E2"/>
    <w:rsid w:val="2B9727AC"/>
    <w:rsid w:val="345360ED"/>
    <w:rsid w:val="350C73DA"/>
    <w:rsid w:val="359D1F3C"/>
    <w:rsid w:val="3708535D"/>
    <w:rsid w:val="37804D36"/>
    <w:rsid w:val="37EF307D"/>
    <w:rsid w:val="391F3341"/>
    <w:rsid w:val="39DA6E0B"/>
    <w:rsid w:val="3B9C4B9B"/>
    <w:rsid w:val="3C47646A"/>
    <w:rsid w:val="3C680E42"/>
    <w:rsid w:val="3D4F3375"/>
    <w:rsid w:val="3D7C5D37"/>
    <w:rsid w:val="3E9F7752"/>
    <w:rsid w:val="3F282CAB"/>
    <w:rsid w:val="3FA739A9"/>
    <w:rsid w:val="40B30F46"/>
    <w:rsid w:val="42CF3125"/>
    <w:rsid w:val="45FD3CC5"/>
    <w:rsid w:val="4608581B"/>
    <w:rsid w:val="47E451FA"/>
    <w:rsid w:val="49B15B12"/>
    <w:rsid w:val="4A7F2D7F"/>
    <w:rsid w:val="4BAE3142"/>
    <w:rsid w:val="4E2E33E1"/>
    <w:rsid w:val="4FD8553F"/>
    <w:rsid w:val="51015A17"/>
    <w:rsid w:val="51BD7FDF"/>
    <w:rsid w:val="51E60B62"/>
    <w:rsid w:val="525C264C"/>
    <w:rsid w:val="526E6737"/>
    <w:rsid w:val="527458A4"/>
    <w:rsid w:val="548412E1"/>
    <w:rsid w:val="54EF5EE7"/>
    <w:rsid w:val="56A20063"/>
    <w:rsid w:val="5B2E0680"/>
    <w:rsid w:val="5B9348A4"/>
    <w:rsid w:val="60F81EE0"/>
    <w:rsid w:val="61412DCC"/>
    <w:rsid w:val="627C4BD2"/>
    <w:rsid w:val="63E916E2"/>
    <w:rsid w:val="657D2499"/>
    <w:rsid w:val="65F74622"/>
    <w:rsid w:val="69B35ED6"/>
    <w:rsid w:val="6A753867"/>
    <w:rsid w:val="6DDA2812"/>
    <w:rsid w:val="6FF77DCC"/>
    <w:rsid w:val="710601D5"/>
    <w:rsid w:val="745115E8"/>
    <w:rsid w:val="7A1D5C63"/>
    <w:rsid w:val="7CED5EDC"/>
    <w:rsid w:val="7E8C5107"/>
    <w:rsid w:val="7F103F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</w:pPr>
    <w:rPr>
      <w:rFonts w:ascii="宋体"/>
      <w:sz w:val="28"/>
    </w:r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占位符文本1"/>
    <w:semiHidden/>
    <w:qFormat/>
    <w:uiPriority w:val="99"/>
    <w:rPr>
      <w:color w:val="80808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2021-07-13T03:09:07Z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25FBB2A9AC86402B80A33E6B73A619F5</vt:lpwstr>
  </property>
</Properties>
</file>