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林兵</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2020-N1EMS-3059501</w:t>
            </w:r>
          </w:p>
          <w:p>
            <w:pPr>
              <w:jc w:val="center"/>
              <w:rPr>
                <w:b/>
                <w:sz w:val="21"/>
                <w:szCs w:val="21"/>
              </w:rPr>
            </w:pPr>
            <w:r>
              <w:rPr>
                <w:b/>
                <w:sz w:val="21"/>
                <w:szCs w:val="21"/>
              </w:rPr>
              <w:t>2019-N1OHSMS-2059501</w:t>
            </w:r>
          </w:p>
        </w:tc>
        <w:tc>
          <w:tcPr>
            <w:tcW w:w="1728" w:type="dxa"/>
            <w:gridSpan w:val="2"/>
            <w:vAlign w:val="center"/>
          </w:tcPr>
          <w:p>
            <w:pPr>
              <w:jc w:val="center"/>
              <w:rPr>
                <w:b/>
                <w:sz w:val="21"/>
                <w:szCs w:val="21"/>
              </w:rPr>
            </w:pPr>
            <w:r>
              <w:rPr>
                <w:b/>
                <w:sz w:val="21"/>
                <w:szCs w:val="21"/>
              </w:rPr>
              <w:t>E:29.11.05</w:t>
            </w:r>
          </w:p>
          <w:p>
            <w:pPr>
              <w:jc w:val="center"/>
              <w:rPr>
                <w:b/>
                <w:sz w:val="21"/>
                <w:szCs w:val="21"/>
              </w:rPr>
            </w:pPr>
            <w:r>
              <w:rPr>
                <w:b/>
                <w:sz w:val="21"/>
                <w:szCs w:val="21"/>
              </w:rPr>
              <w:t>O:29.11.05</w:t>
            </w:r>
          </w:p>
        </w:tc>
        <w:tc>
          <w:tcPr>
            <w:tcW w:w="1729" w:type="dxa"/>
            <w:gridSpan w:val="2"/>
            <w:vAlign w:val="center"/>
          </w:tcPr>
          <w:p>
            <w:pPr>
              <w:jc w:val="center"/>
              <w:rPr>
                <w:b/>
                <w:sz w:val="21"/>
                <w:szCs w:val="21"/>
              </w:rPr>
            </w:pPr>
            <w:r>
              <w:rPr>
                <w:b/>
                <w:sz w:val="21"/>
                <w:szCs w:val="21"/>
              </w:rPr>
              <w:t>ISC-59501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w:t>
      </w:r>
      <w:r>
        <w:rPr>
          <w:rFonts w:hint="eastAsia"/>
          <w:b/>
          <w:sz w:val="21"/>
          <w:szCs w:val="21"/>
          <w:lang w:val="en-US" w:eastAsia="zh-CN"/>
        </w:rPr>
        <w:t>EMS/OHSMS</w:t>
      </w:r>
      <w:r>
        <w:rPr>
          <w:rFonts w:hint="eastAsia"/>
          <w:b/>
          <w:sz w:val="21"/>
          <w:szCs w:val="21"/>
        </w:rPr>
        <w:t>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w:t>
      </w:r>
      <w:r>
        <w:rPr>
          <w:rFonts w:hint="eastAsia"/>
          <w:b/>
          <w:sz w:val="21"/>
          <w:szCs w:val="21"/>
          <w:lang w:val="en-US" w:eastAsia="zh-CN"/>
        </w:rPr>
        <w:t>45</w:t>
      </w:r>
      <w:r>
        <w:rPr>
          <w:rFonts w:hint="eastAsia"/>
          <w:b/>
          <w:sz w:val="21"/>
          <w:szCs w:val="21"/>
        </w:rPr>
        <w:t>001-20</w:t>
      </w:r>
      <w:r>
        <w:rPr>
          <w:rFonts w:hint="eastAsia"/>
          <w:b/>
          <w:sz w:val="21"/>
          <w:szCs w:val="21"/>
          <w:lang w:val="en-US" w:eastAsia="zh-CN"/>
        </w:rPr>
        <w:t>20</w:t>
      </w:r>
      <w:r>
        <w:rPr>
          <w:rFonts w:hint="eastAsia"/>
          <w:b/>
          <w:sz w:val="21"/>
          <w:szCs w:val="21"/>
        </w:rPr>
        <w:t xml:space="preserve"> idt ISO45001：2018标准</w:t>
      </w:r>
    </w:p>
    <w:p>
      <w:pPr>
        <w:tabs>
          <w:tab w:val="left" w:pos="645"/>
        </w:tabs>
        <w:rPr>
          <w:b/>
          <w:sz w:val="21"/>
          <w:szCs w:val="21"/>
        </w:rPr>
      </w:pPr>
      <w:r>
        <w:rPr>
          <w:rFonts w:hint="eastAsia"/>
          <w:b/>
          <w:sz w:val="21"/>
          <w:szCs w:val="21"/>
          <w:lang w:val="en-US" w:eastAsia="zh-CN"/>
        </w:rPr>
        <w:t xml:space="preserve"> </w:t>
      </w: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上海店李贸易有限公司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 xml:space="preserve">无变化 </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上海闵行区新镇路1509弄3号302-B22室</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201100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生产地址"/>
            <w:r>
              <w:rPr>
                <w:rFonts w:ascii="宋体"/>
                <w:b/>
                <w:sz w:val="21"/>
              </w:rPr>
              <w:t>上海闵行区曲吴路589号6号楼301室</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200241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上海闵行区曲吴路589号6号楼301室</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200241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李海强</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13641720613</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李长杰</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李海强</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2021年07月14日 上午至2021年07月15日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sz w:val="20"/>
              </w:rPr>
            </w:pPr>
            <w:bookmarkStart w:id="22" w:name="审核范围"/>
            <w:r>
              <w:rPr>
                <w:sz w:val="20"/>
              </w:rPr>
              <w:t>E：许可范围内的腐蚀品（碱性腐蚀品、酸性腐蚀品及其他腐蚀品包含水处理剂）的销售所涉及场所的相关环境管理活动</w:t>
            </w:r>
          </w:p>
          <w:p>
            <w:pPr>
              <w:spacing w:line="360" w:lineRule="exact"/>
              <w:rPr>
                <w:rFonts w:ascii="宋体" w:hAnsi="宋体"/>
                <w:b/>
                <w:sz w:val="21"/>
                <w:szCs w:val="21"/>
              </w:rPr>
            </w:pPr>
            <w:r>
              <w:rPr>
                <w:sz w:val="20"/>
              </w:rPr>
              <w:t>O：许可范围内的腐蚀品（碱性腐蚀品、酸性腐蚀品及其他腐蚀品包含水处理剂）的销售所涉及场所的相关职业健康安全管理活动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3" w:name="专业代码"/>
            <w:r>
              <w:rPr>
                <w:rFonts w:ascii="宋体" w:hAnsi="宋体"/>
                <w:b/>
                <w:sz w:val="21"/>
                <w:szCs w:val="21"/>
              </w:rPr>
              <w:t>E：29.11.05</w:t>
            </w:r>
          </w:p>
          <w:p>
            <w:pPr>
              <w:spacing w:line="260" w:lineRule="exact"/>
              <w:rPr>
                <w:rFonts w:ascii="宋体" w:hAnsi="宋体"/>
                <w:b/>
                <w:sz w:val="21"/>
                <w:szCs w:val="21"/>
              </w:rPr>
            </w:pPr>
            <w:r>
              <w:rPr>
                <w:rFonts w:ascii="宋体" w:hAnsi="宋体"/>
                <w:b/>
                <w:sz w:val="21"/>
                <w:szCs w:val="21"/>
              </w:rPr>
              <w:t>O：29.11.05</w:t>
            </w:r>
            <w:bookmarkEnd w:id="2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lang w:val="en-US" w:eastAsia="zh-CN"/>
              </w:rPr>
              <w:t>至</w:t>
            </w:r>
            <w:r>
              <w:rPr>
                <w:rFonts w:ascii="宋体" w:hAnsi="宋体"/>
                <w:b/>
                <w:sz w:val="21"/>
                <w:szCs w:val="21"/>
              </w:rPr>
              <w:t>2023-06-30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2020-6-8</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ascii="宋体" w:hAnsi="宋体"/>
          <w:b/>
          <w:sz w:val="21"/>
          <w:szCs w:val="21"/>
          <w:lang w:val="en-US" w:eastAsia="zh-CN"/>
        </w:rPr>
        <w:t>无</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8</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30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ascii="宋体" w:hAnsi="宋体" w:eastAsia="宋体" w:cs="Times New Roman"/>
                <w:b/>
                <w:kern w:val="2"/>
                <w:sz w:val="21"/>
                <w:szCs w:val="21"/>
                <w:lang w:val="en-US" w:eastAsia="zh-CN" w:bidi="ar-SA"/>
              </w:rPr>
            </w:pPr>
            <w:r>
              <w:rPr>
                <w:rFonts w:hint="eastAsia" w:ascii="楷体" w:hAnsi="楷体" w:eastAsia="楷体"/>
                <w:color w:val="000000"/>
                <w:sz w:val="21"/>
                <w:szCs w:val="21"/>
                <w:lang w:val="en-US" w:eastAsia="zh-CN"/>
              </w:rPr>
              <w:t>2021年度重新识别，但内容与2020年类同。基本充分。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left="0" w:leftChars="0" w:firstLine="0" w:firstLineChars="0"/>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 xml:space="preserve">  </w:t>
            </w:r>
            <w:r>
              <w:rPr>
                <w:rFonts w:hint="eastAsia" w:ascii="楷体" w:hAnsi="楷体" w:eastAsia="楷体"/>
                <w:color w:val="000000"/>
                <w:sz w:val="21"/>
                <w:szCs w:val="21"/>
                <w:lang w:val="en-US" w:eastAsia="zh-CN"/>
              </w:rPr>
              <w:t xml:space="preserve"> 识别情况未变化。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2"/>
              </w:numPr>
              <w:spacing w:line="280" w:lineRule="exact"/>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ind w:firstLine="422" w:firstLineChars="200"/>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 xml:space="preserve">  </w:t>
            </w:r>
            <w:r>
              <w:rPr>
                <w:rFonts w:hint="eastAsia" w:ascii="楷体" w:hAnsi="楷体" w:eastAsia="楷体"/>
                <w:color w:val="000000"/>
                <w:sz w:val="21"/>
                <w:szCs w:val="21"/>
                <w:lang w:val="en-US" w:eastAsia="zh-CN"/>
              </w:rPr>
              <w:t xml:space="preserve"> 方针未变化，近一年来，公司考虑</w:t>
            </w:r>
            <w:r>
              <w:rPr>
                <w:rFonts w:hint="eastAsia" w:ascii="楷体" w:hAnsi="楷体" w:eastAsia="楷体"/>
                <w:color w:val="000000"/>
                <w:sz w:val="21"/>
                <w:szCs w:val="21"/>
              </w:rPr>
              <w:t>预</w:t>
            </w:r>
            <w:r>
              <w:rPr>
                <w:rFonts w:hint="eastAsia" w:ascii="楷体" w:hAnsi="楷体" w:eastAsia="楷体"/>
                <w:sz w:val="21"/>
                <w:szCs w:val="21"/>
              </w:rPr>
              <w:t>期结果的各种外部和内部因素。</w:t>
            </w:r>
            <w:r>
              <w:rPr>
                <w:rFonts w:hint="eastAsia" w:ascii="楷体" w:hAnsi="楷体" w:eastAsia="楷体"/>
                <w:sz w:val="21"/>
                <w:szCs w:val="21"/>
                <w:lang w:val="en-US" w:eastAsia="zh-CN"/>
              </w:rPr>
              <w:t>持续强化公司方针的宣贯，</w:t>
            </w:r>
            <w:r>
              <w:rPr>
                <w:rFonts w:hint="eastAsia" w:ascii="楷体" w:hAnsi="楷体" w:eastAsia="楷体"/>
                <w:color w:val="000000"/>
                <w:sz w:val="21"/>
                <w:szCs w:val="21"/>
              </w:rPr>
              <w:t>尽可能将风险控制在可接受的范围内，对机遇出现时应及时把握，有效的利用机遇。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0"/>
              </w:numPr>
              <w:spacing w:line="280" w:lineRule="exact"/>
              <w:ind w:leftChars="0"/>
              <w:rPr>
                <w:rFonts w:hint="eastAsia" w:ascii="宋体" w:hAnsi="宋体"/>
                <w:b/>
                <w:sz w:val="21"/>
                <w:szCs w:val="21"/>
              </w:rPr>
            </w:pPr>
            <w:r>
              <w:rPr>
                <w:rFonts w:ascii="宋体" w:hAnsi="宋体"/>
                <w:b/>
                <w:sz w:val="21"/>
                <w:szCs w:val="21"/>
              </w:rPr>
              <w:t>4</w:t>
            </w:r>
            <w:r>
              <w:rPr>
                <w:rFonts w:hint="eastAsia" w:ascii="宋体" w:hAnsi="宋体"/>
                <w:b/>
                <w:sz w:val="21"/>
                <w:szCs w:val="21"/>
              </w:rPr>
              <w:t>、风险识别与控制策划风险识别与控制策划</w:t>
            </w:r>
            <w:r>
              <w:rPr>
                <w:rFonts w:hint="eastAsia" w:ascii="宋体" w:hAnsi="宋体"/>
                <w:b/>
                <w:sz w:val="21"/>
                <w:szCs w:val="21"/>
                <w:lang w:val="en-US" w:eastAsia="zh-CN"/>
              </w:rPr>
              <w:t xml:space="preserve"> </w:t>
            </w:r>
          </w:p>
          <w:p>
            <w:pPr>
              <w:spacing w:line="280" w:lineRule="exact"/>
              <w:rPr>
                <w:rFonts w:ascii="宋体" w:hAnsi="宋体" w:eastAsia="宋体" w:cs="Times New Roman"/>
                <w:b/>
                <w:kern w:val="2"/>
                <w:sz w:val="21"/>
                <w:szCs w:val="21"/>
                <w:lang w:val="en-US" w:eastAsia="zh-CN" w:bidi="ar-SA"/>
              </w:rPr>
            </w:pPr>
            <w:r>
              <w:rPr>
                <w:rFonts w:hint="eastAsia" w:ascii="楷体" w:hAnsi="楷体" w:eastAsia="楷体"/>
                <w:sz w:val="21"/>
                <w:szCs w:val="21"/>
                <w:lang w:val="en-US" w:eastAsia="zh-CN"/>
              </w:rPr>
              <w:t>提供2021年度</w:t>
            </w:r>
            <w:r>
              <w:rPr>
                <w:rFonts w:hint="eastAsia" w:ascii="楷体" w:hAnsi="楷体" w:eastAsia="楷体"/>
                <w:sz w:val="21"/>
                <w:szCs w:val="21"/>
              </w:rPr>
              <w:t>《风险和机遇评估分析表》，风险和机遇及应对的措施策划适当符合要求。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近一年来，环境因素识别结果未变化。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近一年来，危险源识别结果未变化。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w:t>
            </w:r>
            <w:r>
              <w:rPr>
                <w:rFonts w:hint="eastAsia" w:ascii="宋体" w:hAnsi="宋体"/>
                <w:b/>
                <w:szCs w:val="21"/>
                <w:lang w:eastAsia="zh-CN"/>
              </w:rPr>
              <w:t>☑</w:t>
            </w:r>
            <w:r>
              <w:rPr>
                <w:rFonts w:hint="eastAsia" w:ascii="宋体" w:hAnsi="宋体"/>
                <w:b/>
                <w:szCs w:val="21"/>
              </w:rPr>
              <w:t>法律法规获取充分</w:t>
            </w:r>
            <w:r>
              <w:rPr>
                <w:rFonts w:hint="eastAsia" w:ascii="宋体" w:hAnsi="宋体"/>
                <w:b/>
                <w:szCs w:val="21"/>
                <w:lang w:eastAsia="zh-CN"/>
              </w:rPr>
              <w:t>：</w:t>
            </w:r>
            <w:r>
              <w:rPr>
                <w:rFonts w:hint="eastAsia" w:ascii="宋体" w:hAnsi="宋体"/>
                <w:b/>
                <w:szCs w:val="21"/>
                <w:lang w:val="en-US" w:eastAsia="zh-CN"/>
              </w:rPr>
              <w:t>增加《中华人民共和国民法典》</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szCs w:val="21"/>
                <w:lang w:val="en-US" w:eastAsia="zh-CN"/>
              </w:rPr>
              <w:t>会议、培训及日常</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b/>
                <w:szCs w:val="21"/>
                <w:lang w:val="en-US" w:eastAsia="zh-CN"/>
              </w:rPr>
              <w:t>/</w:t>
            </w:r>
          </w:p>
          <w:p>
            <w:pPr>
              <w:tabs>
                <w:tab w:val="left" w:pos="0"/>
              </w:tabs>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 xml:space="preserve">    建立的目标未变化，持续有效，可测量。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 xml:space="preserve">    文件与记录未修改或增加。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hint="default" w:ascii="宋体" w:hAnsi="宋体" w:eastAsia="宋体" w:cs="Times New Roman"/>
                <w:b/>
                <w:kern w:val="2"/>
                <w:sz w:val="21"/>
                <w:szCs w:val="21"/>
                <w:lang w:val="en-US" w:eastAsia="zh-CN" w:bidi="ar-SA"/>
              </w:rPr>
            </w:pPr>
            <w:r>
              <w:rPr>
                <w:rFonts w:hint="eastAsia" w:ascii="宋体" w:hAnsi="宋体"/>
                <w:b/>
                <w:sz w:val="21"/>
                <w:szCs w:val="21"/>
                <w:lang w:val="en-US" w:eastAsia="zh-CN"/>
              </w:rPr>
              <w:t xml:space="preserve">    中层以上管理人员相对稳定，未变化。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 xml:space="preserve">   设备设施未大的变化。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未变化。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公司无仓储销售性质，无测量设备。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知识</w:t>
            </w:r>
          </w:p>
          <w:p>
            <w:pPr>
              <w:spacing w:line="240" w:lineRule="exact"/>
              <w:rPr>
                <w:rFonts w:hint="default" w:ascii="宋体" w:hAnsi="宋体" w:eastAsia="宋体" w:cs="Times New Roman"/>
                <w:b/>
                <w:kern w:val="2"/>
                <w:sz w:val="21"/>
                <w:szCs w:val="21"/>
                <w:lang w:val="en-US" w:eastAsia="zh-CN" w:bidi="ar-SA"/>
              </w:rPr>
            </w:pPr>
            <w:r>
              <w:rPr>
                <w:rFonts w:hint="eastAsia" w:ascii="宋体" w:hAnsi="宋体"/>
                <w:b/>
                <w:sz w:val="21"/>
                <w:szCs w:val="21"/>
                <w:lang w:val="en-US" w:eastAsia="zh-CN"/>
              </w:rPr>
              <w:t>业务交流、供方、客户信息等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rPr>
                <w:rFonts w:hint="eastAsia" w:ascii="宋体" w:hAnsi="宋体" w:eastAsia="宋体" w:cs="Times New Roman"/>
                <w:b/>
                <w:kern w:val="2"/>
                <w:sz w:val="21"/>
                <w:szCs w:val="21"/>
                <w:lang w:val="en-US" w:eastAsia="zh-CN" w:bidi="ar-SA"/>
              </w:rPr>
            </w:pPr>
            <w:r>
              <w:rPr>
                <w:rFonts w:hint="eastAsia" w:ascii="宋体" w:hAnsi="宋体"/>
                <w:b/>
                <w:sz w:val="21"/>
                <w:szCs w:val="21"/>
                <w:lang w:val="en-US" w:eastAsia="zh-CN"/>
              </w:rPr>
              <w:t>未有大的改变或改造，销售过程无重大需监测环境因素。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sz w:val="21"/>
                <w:szCs w:val="21"/>
                <w:lang w:val="en-US" w:eastAsia="zh-CN"/>
              </w:rPr>
              <w:t>近一年来劳保用品购置数量增加，主要为防新冠疫情的口罩用品。生产上的劳保用品与往年差不多。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leftChars="0"/>
              <w:rPr>
                <w:rFonts w:hint="eastAsia" w:ascii="宋体" w:hAnsi="宋体" w:eastAsia="宋体" w:cs="Times New Roman"/>
                <w:b/>
                <w:kern w:val="2"/>
                <w:sz w:val="21"/>
                <w:szCs w:val="21"/>
                <w:lang w:val="en-US" w:eastAsia="zh-CN" w:bidi="ar-SA"/>
              </w:rPr>
            </w:pPr>
            <w:r>
              <w:rPr>
                <w:rFonts w:hint="eastAsia" w:ascii="宋体" w:hAnsi="宋体"/>
                <w:b/>
                <w:sz w:val="21"/>
                <w:szCs w:val="21"/>
                <w:lang w:val="en-US" w:eastAsia="zh-CN"/>
              </w:rPr>
              <w:t xml:space="preserve">    方针未变化，根据组织宗旨制定了管理体系方针，进行了有效沟通，在管理评审时进行评审，持续符合要求。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rPr>
                <w:rFonts w:ascii="楷体_GB2312" w:eastAsia="楷体_GB2312"/>
                <w:b/>
                <w:color w:val="000000" w:themeColor="text1"/>
                <w:sz w:val="21"/>
                <w:szCs w:val="21"/>
              </w:rPr>
            </w:pPr>
            <w:r>
              <w:rPr>
                <w:rFonts w:hint="eastAsia" w:ascii="宋体" w:hAnsi="宋体"/>
                <w:b/>
                <w:sz w:val="21"/>
                <w:szCs w:val="21"/>
              </w:rPr>
              <w:t>内部沟通的情况：内部沟通方式：</w:t>
            </w:r>
            <w:r>
              <w:rPr>
                <w:rFonts w:hint="eastAsia"/>
                <w:sz w:val="21"/>
                <w:szCs w:val="21"/>
              </w:rPr>
              <w:t>培训、会议；</w:t>
            </w:r>
          </w:p>
          <w:p>
            <w:pPr>
              <w:rPr>
                <w:rFonts w:ascii="宋体" w:hAnsi="宋体"/>
                <w:b/>
                <w:sz w:val="21"/>
                <w:szCs w:val="21"/>
              </w:rPr>
            </w:pPr>
            <w:r>
              <w:rPr>
                <w:rFonts w:hint="eastAsia" w:ascii="楷体_GB2312" w:eastAsia="楷体_GB2312"/>
                <w:b/>
                <w:color w:val="000000" w:themeColor="text1"/>
                <w:sz w:val="21"/>
                <w:szCs w:val="21"/>
              </w:rPr>
              <w:t xml:space="preserve">                </w:t>
            </w:r>
            <w:r>
              <w:rPr>
                <w:rFonts w:hint="eastAsia" w:ascii="宋体" w:hAnsi="宋体"/>
                <w:b/>
                <w:sz w:val="21"/>
                <w:szCs w:val="21"/>
              </w:rPr>
              <w:t>内部沟通的效果：</w:t>
            </w:r>
            <w:r>
              <w:rPr>
                <w:rFonts w:hint="eastAsia"/>
                <w:sz w:val="21"/>
                <w:szCs w:val="21"/>
              </w:rPr>
              <w:t>沟通畅通</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sz w:val="21"/>
                <w:szCs w:val="21"/>
              </w:rPr>
              <w:t>定期组织顾客满意度调查和走访。</w:t>
            </w:r>
          </w:p>
          <w:p>
            <w:pPr>
              <w:spacing w:line="240" w:lineRule="exact"/>
              <w:rPr>
                <w:rFonts w:ascii="宋体" w:hAnsi="宋体"/>
                <w:b/>
                <w:sz w:val="21"/>
                <w:szCs w:val="21"/>
              </w:rPr>
            </w:pPr>
          </w:p>
          <w:p>
            <w:pPr>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sz w:val="21"/>
                <w:szCs w:val="21"/>
              </w:rPr>
              <w:t>参加相关部门组织的会议，接收相关部门下达的通知并在公司内部沟通传达。</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sz w:val="21"/>
                <w:szCs w:val="21"/>
              </w:rPr>
              <w:t>对</w:t>
            </w:r>
            <w:r>
              <w:rPr>
                <w:rFonts w:hint="eastAsia"/>
                <w:sz w:val="21"/>
                <w:szCs w:val="21"/>
                <w:lang w:val="en-US" w:eastAsia="zh-CN"/>
              </w:rPr>
              <w:t>相关</w:t>
            </w:r>
            <w:r>
              <w:rPr>
                <w:rFonts w:hint="eastAsia"/>
                <w:sz w:val="21"/>
                <w:szCs w:val="21"/>
              </w:rPr>
              <w:t>方进行了环保告知。</w:t>
            </w:r>
          </w:p>
          <w:p>
            <w:pPr>
              <w:spacing w:line="240" w:lineRule="exact"/>
              <w:rPr>
                <w:rFonts w:ascii="宋体" w:hAnsi="宋体"/>
                <w:b/>
                <w:sz w:val="21"/>
                <w:szCs w:val="21"/>
              </w:rPr>
            </w:pPr>
          </w:p>
          <w:p>
            <w:pPr>
              <w:spacing w:line="360" w:lineRule="auto"/>
              <w:rPr>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sz w:val="21"/>
                <w:szCs w:val="21"/>
              </w:rPr>
              <w:t>公司经选举确定了员工代表是</w:t>
            </w:r>
            <w:r>
              <w:rPr>
                <w:rFonts w:hint="eastAsia"/>
                <w:sz w:val="21"/>
                <w:szCs w:val="21"/>
                <w:lang w:val="en-US" w:eastAsia="zh-CN"/>
              </w:rPr>
              <w:t>金燕</w:t>
            </w:r>
            <w:r>
              <w:rPr>
                <w:rFonts w:hint="eastAsia"/>
                <w:sz w:val="21"/>
                <w:szCs w:val="21"/>
              </w:rPr>
              <w:t>，</w:t>
            </w:r>
          </w:p>
          <w:p>
            <w:pPr>
              <w:spacing w:line="360" w:lineRule="auto"/>
              <w:rPr>
                <w:rFonts w:ascii="宋体" w:hAnsi="宋体"/>
                <w:b/>
                <w:sz w:val="21"/>
                <w:szCs w:val="21"/>
              </w:rPr>
            </w:pPr>
            <w:r>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sz w:val="21"/>
                <w:szCs w:val="21"/>
              </w:rPr>
              <w:t>对</w:t>
            </w:r>
            <w:r>
              <w:rPr>
                <w:rFonts w:hint="eastAsia"/>
                <w:sz w:val="21"/>
                <w:szCs w:val="21"/>
                <w:lang w:val="en-US" w:eastAsia="zh-CN"/>
              </w:rPr>
              <w:t>相关</w:t>
            </w:r>
            <w:r>
              <w:rPr>
                <w:rFonts w:hint="eastAsia"/>
                <w:sz w:val="21"/>
                <w:szCs w:val="21"/>
              </w:rPr>
              <w:t>方进行了环保告知。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2"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1、废水管控：生活废水流入市政管网。</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2、废气管控：无废气排放。</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3、噪声管控：日常为办公过程，无噪声影响。</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4、固废管控：生活垃圾由当地环卫所处理，公司缴纳管理费。</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5、能源资源管控：注意节水、节电，人走关闭设备和照明开关，现场未发现有漏水和浪费电能的现象。</w:t>
            </w:r>
          </w:p>
          <w:p>
            <w:pPr>
              <w:spacing w:line="240" w:lineRule="exact"/>
              <w:ind w:firstLine="422" w:firstLineChars="200"/>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6、对相关方进行了环保要求告知。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jc w:val="center"/>
        </w:trPr>
        <w:tc>
          <w:tcPr>
            <w:tcW w:w="720" w:type="dxa"/>
            <w:vMerge w:val="continue"/>
            <w:vAlign w:val="center"/>
          </w:tcPr>
          <w:p>
            <w:pPr>
              <w:spacing w:line="240" w:lineRule="exact"/>
              <w:jc w:val="center"/>
              <w:rPr>
                <w:b/>
                <w:szCs w:val="21"/>
              </w:rPr>
            </w:pPr>
          </w:p>
        </w:tc>
        <w:tc>
          <w:tcPr>
            <w:tcW w:w="9198" w:type="dxa"/>
            <w:vAlign w:val="top"/>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1、潜在火灾管控：配备灭火器。</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2、安全防护：公司给员工发放手套、口罩、工作服等劳保用品，电线布线合理，漏电保护器状态良好。</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3、为主要长期员工上社保、工伤保险。</w:t>
            </w:r>
          </w:p>
          <w:p>
            <w:pPr>
              <w:spacing w:line="240" w:lineRule="exact"/>
              <w:ind w:firstLine="422" w:firstLineChars="200"/>
              <w:rPr>
                <w:rFonts w:hint="default" w:ascii="宋体" w:hAnsi="宋体" w:eastAsia="宋体" w:cs="Times New Roman"/>
                <w:b/>
                <w:kern w:val="2"/>
                <w:sz w:val="21"/>
                <w:szCs w:val="21"/>
                <w:lang w:val="en-US" w:eastAsia="zh-CN" w:bidi="ar-SA"/>
              </w:rPr>
            </w:pPr>
            <w:r>
              <w:rPr>
                <w:rFonts w:hint="eastAsia" w:ascii="宋体" w:hAnsi="宋体"/>
                <w:b/>
                <w:sz w:val="21"/>
                <w:szCs w:val="21"/>
                <w:lang w:val="en-US" w:eastAsia="zh-CN"/>
              </w:rPr>
              <w:t>4、为环境和职业健康安全管理体系运行提供了财务支持。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制定了火灾、触电、人身伤害等应急预案，举行了年度进行了消防应急演练.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cs="Times New Roman"/>
                <w:b/>
                <w:kern w:val="2"/>
                <w:sz w:val="21"/>
                <w:szCs w:val="21"/>
                <w:lang w:val="en-US" w:eastAsia="zh-CN" w:bidi="ar-SA"/>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 xml:space="preserve">   危化品销售，无仓储，运输为外包过程；销售办公过程基本不与销售产品本身接触；业务人员现场业务处理，按公司规定执行。对外包方以告知书和协议的内容规定执行。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b/>
                <w:sz w:val="21"/>
                <w:szCs w:val="21"/>
                <w:lang w:val="en-US" w:eastAsia="zh-CN"/>
              </w:rPr>
              <w:t>对各部门目标完成情况进行考核，基本达到目标规定。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ind w:firstLine="105" w:firstLineChars="50"/>
              <w:rPr>
                <w:rFonts w:hint="eastAsia" w:ascii="宋体" w:hAnsi="宋体"/>
                <w:b/>
                <w:sz w:val="21"/>
                <w:szCs w:val="21"/>
                <w:lang w:val="en-US" w:eastAsia="zh-CN"/>
              </w:rPr>
            </w:pPr>
            <w:r>
              <w:rPr>
                <w:rFonts w:hint="eastAsia" w:ascii="宋体" w:hAnsi="宋体"/>
                <w:b/>
                <w:sz w:val="21"/>
                <w:szCs w:val="21"/>
                <w:lang w:val="en-US" w:eastAsia="zh-CN"/>
              </w:rPr>
              <w:t>依据GB/T24001-2016、GB/T45001-2020标准、体系文件、相关法律法规等.</w:t>
            </w:r>
          </w:p>
          <w:p>
            <w:pPr>
              <w:spacing w:line="240" w:lineRule="exact"/>
              <w:ind w:firstLine="105" w:firstLineChars="50"/>
              <w:rPr>
                <w:rFonts w:hint="eastAsia" w:ascii="宋体" w:hAnsi="宋体"/>
                <w:b/>
                <w:sz w:val="21"/>
                <w:szCs w:val="21"/>
                <w:lang w:val="en-US" w:eastAsia="zh-CN"/>
              </w:rPr>
            </w:pPr>
            <w:r>
              <w:rPr>
                <w:rFonts w:hint="eastAsia" w:ascii="宋体" w:hAnsi="宋体"/>
                <w:b/>
                <w:sz w:val="21"/>
                <w:szCs w:val="21"/>
                <w:lang w:val="en-US" w:eastAsia="zh-CN"/>
              </w:rPr>
              <w:t xml:space="preserve">提供2021年度《年度内部审核计划》，内审安排1次。明确审核目的、范围、依据、日期，编制:李海强  审批：李长杰； </w:t>
            </w:r>
          </w:p>
          <w:p>
            <w:pPr>
              <w:spacing w:line="240" w:lineRule="exact"/>
              <w:ind w:firstLine="105" w:firstLineChars="50"/>
              <w:rPr>
                <w:rFonts w:hint="eastAsia" w:ascii="宋体" w:hAnsi="宋体"/>
                <w:b/>
                <w:sz w:val="21"/>
                <w:szCs w:val="21"/>
                <w:lang w:val="en-US" w:eastAsia="zh-CN"/>
              </w:rPr>
            </w:pPr>
            <w:r>
              <w:rPr>
                <w:rFonts w:hint="eastAsia" w:ascii="宋体" w:hAnsi="宋体"/>
                <w:b/>
                <w:sz w:val="21"/>
                <w:szCs w:val="21"/>
                <w:lang w:val="en-US" w:eastAsia="zh-CN"/>
              </w:rPr>
              <w:t>提供EO《内部审核计划》；内部审核计划日程安排：2021.04.28，组长：李海强，组员：金燕，有培训记录和总经理的任命书；</w:t>
            </w:r>
          </w:p>
          <w:p>
            <w:pPr>
              <w:spacing w:line="240" w:lineRule="exact"/>
              <w:ind w:firstLine="105" w:firstLineChars="50"/>
              <w:rPr>
                <w:rFonts w:hint="eastAsia" w:ascii="宋体" w:hAnsi="宋体"/>
                <w:b/>
                <w:sz w:val="21"/>
                <w:szCs w:val="21"/>
                <w:lang w:val="en-US" w:eastAsia="zh-CN"/>
              </w:rPr>
            </w:pPr>
            <w:r>
              <w:rPr>
                <w:rFonts w:hint="eastAsia" w:ascii="宋体" w:hAnsi="宋体"/>
                <w:b/>
                <w:sz w:val="21"/>
                <w:szCs w:val="21"/>
                <w:lang w:val="en-US" w:eastAsia="zh-CN"/>
              </w:rPr>
              <w:t>计划内容涉及各部门，条款覆盖整个体系，时间安排合理。同时考虑到互查的公正性。实际审核：2021.4.30，有签到表，但为打印签到。</w:t>
            </w:r>
          </w:p>
          <w:p>
            <w:pPr>
              <w:spacing w:line="240" w:lineRule="exact"/>
              <w:ind w:firstLine="105" w:firstLineChars="50"/>
              <w:rPr>
                <w:rFonts w:hint="eastAsia" w:ascii="宋体" w:hAnsi="宋体"/>
                <w:b/>
                <w:sz w:val="21"/>
                <w:szCs w:val="21"/>
                <w:lang w:val="en-US" w:eastAsia="zh-CN"/>
              </w:rPr>
            </w:pPr>
            <w:r>
              <w:rPr>
                <w:rFonts w:hint="eastAsia" w:ascii="宋体" w:hAnsi="宋体"/>
                <w:b/>
                <w:sz w:val="21"/>
                <w:szCs w:val="21"/>
                <w:lang w:val="en-US" w:eastAsia="zh-CN"/>
              </w:rPr>
              <w:t>查《内审检查表》，有管理层、办公室、供销部、财务部等部门的审核记录，条款与策划一致，记录真实、完整。包括EO体系所有条款，没有遗漏。</w:t>
            </w:r>
          </w:p>
          <w:p>
            <w:pPr>
              <w:spacing w:line="240" w:lineRule="exact"/>
              <w:ind w:firstLine="105" w:firstLineChars="50"/>
              <w:rPr>
                <w:rFonts w:hint="eastAsia" w:ascii="宋体" w:hAnsi="宋体"/>
                <w:b/>
                <w:sz w:val="21"/>
                <w:szCs w:val="21"/>
                <w:lang w:val="en-US" w:eastAsia="zh-CN"/>
              </w:rPr>
            </w:pPr>
            <w:r>
              <w:rPr>
                <w:rFonts w:hint="eastAsia" w:ascii="宋体" w:hAnsi="宋体"/>
                <w:b/>
                <w:sz w:val="21"/>
                <w:szCs w:val="21"/>
                <w:lang w:val="en-US" w:eastAsia="zh-CN"/>
              </w:rPr>
              <w:t>查《不合格报告》本次发现不符合1个，为一般不符合。</w:t>
            </w:r>
          </w:p>
          <w:p>
            <w:pPr>
              <w:spacing w:line="240" w:lineRule="exact"/>
              <w:ind w:firstLine="105" w:firstLineChars="50"/>
              <w:rPr>
                <w:rFonts w:ascii="宋体" w:hAnsi="宋体"/>
                <w:b/>
                <w:sz w:val="21"/>
                <w:szCs w:val="21"/>
              </w:rPr>
            </w:pPr>
            <w:r>
              <w:rPr>
                <w:rFonts w:hint="eastAsia" w:ascii="宋体" w:hAnsi="宋体"/>
                <w:b/>
                <w:sz w:val="21"/>
                <w:szCs w:val="21"/>
                <w:lang w:val="en-US" w:eastAsia="zh-CN"/>
              </w:rPr>
              <w:t>对于不符合项所采取的纠正等措施，各内审员逐一进行了验证。上述内容记录完整。提供《内部审核报告》，结论： 公司建立的环境/职业健康安全管理体系基本符合GB/T24001-2016、GB/T45001-2020标准要求。管理体系的运行是适宜的、充分的、有效的。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105" w:firstLineChars="50"/>
              <w:rPr>
                <w:rFonts w:hint="eastAsia" w:ascii="宋体" w:hAnsi="宋体"/>
                <w:b/>
                <w:sz w:val="21"/>
                <w:szCs w:val="21"/>
                <w:lang w:val="en-US" w:eastAsia="zh-CN"/>
              </w:rPr>
            </w:pPr>
            <w:r>
              <w:rPr>
                <w:rFonts w:hint="eastAsia" w:ascii="宋体" w:hAnsi="宋体"/>
                <w:b/>
                <w:sz w:val="21"/>
                <w:szCs w:val="21"/>
                <w:lang w:val="en-US" w:eastAsia="zh-CN"/>
              </w:rPr>
              <w:t>提供：</w:t>
            </w:r>
          </w:p>
          <w:p>
            <w:pPr>
              <w:spacing w:line="240" w:lineRule="exact"/>
              <w:ind w:firstLine="105" w:firstLineChars="50"/>
              <w:rPr>
                <w:rFonts w:hint="eastAsia" w:ascii="宋体" w:hAnsi="宋体"/>
                <w:b/>
                <w:sz w:val="21"/>
                <w:szCs w:val="21"/>
                <w:lang w:val="en-US" w:eastAsia="zh-CN"/>
              </w:rPr>
            </w:pPr>
            <w:r>
              <w:rPr>
                <w:rFonts w:hint="eastAsia" w:ascii="宋体" w:hAnsi="宋体"/>
                <w:b/>
                <w:sz w:val="21"/>
                <w:szCs w:val="21"/>
                <w:lang w:val="en-US" w:eastAsia="zh-CN"/>
              </w:rPr>
              <w:t>1.管理评审计划</w:t>
            </w:r>
          </w:p>
          <w:p>
            <w:pPr>
              <w:spacing w:line="240" w:lineRule="exact"/>
              <w:ind w:firstLine="105" w:firstLineChars="50"/>
              <w:rPr>
                <w:rFonts w:hint="eastAsia" w:ascii="宋体" w:hAnsi="宋体"/>
                <w:b/>
                <w:sz w:val="21"/>
                <w:szCs w:val="21"/>
                <w:lang w:val="en-US" w:eastAsia="zh-CN"/>
              </w:rPr>
            </w:pPr>
            <w:r>
              <w:rPr>
                <w:rFonts w:hint="eastAsia" w:ascii="宋体" w:hAnsi="宋体"/>
                <w:b/>
                <w:sz w:val="21"/>
                <w:szCs w:val="21"/>
                <w:lang w:val="en-US" w:eastAsia="zh-CN"/>
              </w:rPr>
              <w:t>评审时间：计划2021年5月16日进行，初审无间隔要求， 评审方式：会议评审，编制：金燕  批准：李长杰。</w:t>
            </w:r>
          </w:p>
          <w:p>
            <w:pPr>
              <w:spacing w:line="240" w:lineRule="exact"/>
              <w:ind w:firstLine="105" w:firstLineChars="50"/>
              <w:rPr>
                <w:rFonts w:hint="eastAsia" w:ascii="宋体" w:hAnsi="宋体"/>
                <w:b/>
                <w:sz w:val="21"/>
                <w:szCs w:val="21"/>
                <w:lang w:val="en-US" w:eastAsia="zh-CN"/>
              </w:rPr>
            </w:pPr>
            <w:r>
              <w:rPr>
                <w:rFonts w:hint="eastAsia" w:ascii="宋体" w:hAnsi="宋体"/>
                <w:b/>
                <w:sz w:val="21"/>
                <w:szCs w:val="21"/>
                <w:lang w:val="en-US" w:eastAsia="zh-CN"/>
              </w:rPr>
              <w:t>参加人员包括公司总经理、管理者代表、各部门负责人</w:t>
            </w:r>
          </w:p>
          <w:p>
            <w:pPr>
              <w:spacing w:line="240" w:lineRule="exact"/>
              <w:ind w:firstLine="105" w:firstLineChars="50"/>
              <w:rPr>
                <w:rFonts w:hint="eastAsia" w:ascii="宋体" w:hAnsi="宋体"/>
                <w:b/>
                <w:sz w:val="21"/>
                <w:szCs w:val="21"/>
                <w:lang w:val="en-US" w:eastAsia="zh-CN"/>
              </w:rPr>
            </w:pPr>
            <w:r>
              <w:rPr>
                <w:rFonts w:hint="eastAsia" w:ascii="宋体" w:hAnsi="宋体"/>
                <w:b/>
                <w:sz w:val="21"/>
                <w:szCs w:val="21"/>
                <w:lang w:val="en-US" w:eastAsia="zh-CN"/>
              </w:rPr>
              <w:t>计划中明确了评审内容和资料准备要求。</w:t>
            </w:r>
          </w:p>
          <w:p>
            <w:pPr>
              <w:spacing w:line="240" w:lineRule="exact"/>
              <w:ind w:firstLine="105" w:firstLineChars="50"/>
              <w:rPr>
                <w:rFonts w:hint="eastAsia" w:ascii="宋体" w:hAnsi="宋体"/>
                <w:b/>
                <w:sz w:val="21"/>
                <w:szCs w:val="21"/>
                <w:lang w:val="en-US" w:eastAsia="zh-CN"/>
              </w:rPr>
            </w:pPr>
            <w:r>
              <w:rPr>
                <w:rFonts w:hint="eastAsia" w:ascii="宋体" w:hAnsi="宋体"/>
                <w:b/>
                <w:sz w:val="21"/>
                <w:szCs w:val="21"/>
                <w:lang w:val="en-US" w:eastAsia="zh-CN"/>
              </w:rPr>
              <w:t>2.管理评审会议记录</w:t>
            </w:r>
          </w:p>
          <w:p>
            <w:pPr>
              <w:spacing w:line="240" w:lineRule="exact"/>
              <w:ind w:firstLine="105" w:firstLineChars="50"/>
              <w:rPr>
                <w:rFonts w:hint="eastAsia" w:ascii="宋体" w:hAnsi="宋体"/>
                <w:b/>
                <w:sz w:val="21"/>
                <w:szCs w:val="21"/>
                <w:lang w:val="en-US" w:eastAsia="zh-CN"/>
              </w:rPr>
            </w:pPr>
            <w:r>
              <w:rPr>
                <w:rFonts w:hint="eastAsia" w:ascii="宋体" w:hAnsi="宋体"/>
                <w:b/>
                <w:sz w:val="21"/>
                <w:szCs w:val="21"/>
                <w:lang w:val="en-US" w:eastAsia="zh-CN"/>
              </w:rPr>
              <w:t>按计划的时间实施了管理评审。管理评审输入：管理方针、目标的适宜行和实现情况；管理体系的符合性；内审结果；内外部环境分析及风险应对措施的落实情况；纠正预防措施及持续改进能力；重要环境因素和不可接受风险控制及效果；合规性评价；可能影响管理体系的变更；改进建议等；</w:t>
            </w:r>
          </w:p>
          <w:p>
            <w:pPr>
              <w:spacing w:line="240" w:lineRule="exact"/>
              <w:ind w:firstLine="105" w:firstLineChars="50"/>
              <w:rPr>
                <w:rFonts w:hint="eastAsia" w:ascii="宋体" w:hAnsi="宋体"/>
                <w:b/>
                <w:sz w:val="21"/>
                <w:szCs w:val="21"/>
                <w:lang w:val="en-US" w:eastAsia="zh-CN"/>
              </w:rPr>
            </w:pPr>
            <w:r>
              <w:rPr>
                <w:rFonts w:hint="eastAsia" w:ascii="宋体" w:hAnsi="宋体"/>
                <w:b/>
                <w:sz w:val="21"/>
                <w:szCs w:val="21"/>
                <w:lang w:val="en-US" w:eastAsia="zh-CN"/>
              </w:rPr>
              <w:t>3.管理评审报告</w:t>
            </w:r>
          </w:p>
          <w:p>
            <w:pPr>
              <w:spacing w:line="240" w:lineRule="exact"/>
              <w:ind w:firstLine="105" w:firstLineChars="50"/>
              <w:rPr>
                <w:rFonts w:hint="eastAsia" w:ascii="宋体" w:hAnsi="宋体"/>
                <w:b/>
                <w:sz w:val="21"/>
                <w:szCs w:val="21"/>
                <w:lang w:val="en-US" w:eastAsia="zh-CN"/>
              </w:rPr>
            </w:pPr>
            <w:r>
              <w:rPr>
                <w:rFonts w:hint="eastAsia" w:ascii="宋体" w:hAnsi="宋体"/>
                <w:b/>
                <w:sz w:val="21"/>
                <w:szCs w:val="21"/>
                <w:lang w:val="en-US" w:eastAsia="zh-CN"/>
              </w:rPr>
              <w:t>管理评审结论：自一体化体系运行以来，公司各部门员工不断增强执行EO标准意识，以EO标准为行动的准则，积极应用PDCA的管理方法，严格管理质量环境安全和各项工作。服务合格率明显提高,未发生重大不合格和安全事故。因此，EO方针在目前是适宜的、充分和有效的。EO基本有效、充分和适宜。</w:t>
            </w:r>
          </w:p>
          <w:p>
            <w:pPr>
              <w:spacing w:line="240" w:lineRule="exact"/>
              <w:ind w:firstLine="105" w:firstLineChars="50"/>
              <w:rPr>
                <w:rFonts w:hint="eastAsia" w:ascii="宋体" w:hAnsi="宋体"/>
                <w:b/>
                <w:sz w:val="21"/>
                <w:szCs w:val="21"/>
                <w:lang w:val="en-US" w:eastAsia="zh-CN"/>
              </w:rPr>
            </w:pPr>
            <w:r>
              <w:rPr>
                <w:rFonts w:hint="eastAsia" w:ascii="宋体" w:hAnsi="宋体"/>
                <w:b/>
                <w:sz w:val="21"/>
                <w:szCs w:val="21"/>
                <w:lang w:val="en-US" w:eastAsia="zh-CN"/>
              </w:rPr>
              <w:t>管理评审改进建议：</w:t>
            </w:r>
          </w:p>
          <w:p>
            <w:pPr>
              <w:spacing w:line="240" w:lineRule="exact"/>
              <w:ind w:firstLine="105" w:firstLineChars="50"/>
              <w:rPr>
                <w:rFonts w:hint="eastAsia" w:ascii="宋体" w:hAnsi="宋体"/>
                <w:b/>
                <w:sz w:val="21"/>
                <w:szCs w:val="21"/>
                <w:lang w:val="en-US" w:eastAsia="zh-CN"/>
              </w:rPr>
            </w:pPr>
            <w:bookmarkStart w:id="24" w:name="OLE_LINK1"/>
            <w:r>
              <w:rPr>
                <w:rFonts w:hint="eastAsia" w:ascii="宋体" w:hAnsi="宋体"/>
                <w:b/>
                <w:sz w:val="21"/>
                <w:szCs w:val="21"/>
                <w:lang w:val="en-US" w:eastAsia="zh-CN"/>
              </w:rPr>
              <w:t>加强人员的安全意识培训。</w:t>
            </w:r>
          </w:p>
          <w:bookmarkEnd w:id="24"/>
          <w:p>
            <w:pPr>
              <w:spacing w:line="240" w:lineRule="exact"/>
              <w:ind w:firstLine="105" w:firstLineChars="50"/>
              <w:rPr>
                <w:rFonts w:ascii="宋体" w:hAnsi="宋体"/>
                <w:b/>
                <w:sz w:val="21"/>
                <w:szCs w:val="21"/>
              </w:rPr>
            </w:pPr>
            <w:r>
              <w:rPr>
                <w:rFonts w:hint="eastAsia" w:ascii="宋体" w:hAnsi="宋体"/>
                <w:b/>
                <w:sz w:val="21"/>
                <w:szCs w:val="21"/>
                <w:lang w:val="en-US" w:eastAsia="zh-CN"/>
              </w:rPr>
              <w:t>组织安全培训。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0"/>
              </w:numPr>
              <w:spacing w:line="240" w:lineRule="exact"/>
              <w:ind w:leftChars="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0" w:leftChars="0" w:firstLine="0" w:firstLineChars="0"/>
              <w:rPr>
                <w:rFonts w:hint="default" w:ascii="宋体" w:hAnsi="宋体" w:eastAsia="宋体" w:cs="Times New Roman"/>
                <w:b/>
                <w:kern w:val="2"/>
                <w:sz w:val="21"/>
                <w:szCs w:val="21"/>
                <w:lang w:val="en-US" w:eastAsia="zh-CN" w:bidi="ar-SA"/>
              </w:rPr>
            </w:pPr>
            <w:r>
              <w:rPr>
                <w:rFonts w:hint="eastAsia" w:ascii="宋体" w:hAnsi="宋体"/>
                <w:b/>
                <w:sz w:val="21"/>
                <w:szCs w:val="21"/>
                <w:lang w:val="en-US" w:eastAsia="zh-CN"/>
              </w:rPr>
              <w:t xml:space="preserve">  销售过程，无法规管控污染物产生；生活费用排入物业管网，垃圾按杭州市垃圾分类管理办法执行。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hint="default" w:ascii="宋体" w:hAnsi="宋体" w:eastAsia="宋体" w:cs="Times New Roman"/>
                <w:b/>
                <w:kern w:val="2"/>
                <w:sz w:val="21"/>
                <w:szCs w:val="21"/>
                <w:lang w:val="en-US" w:eastAsia="zh-CN" w:bidi="ar-SA"/>
              </w:rPr>
            </w:pPr>
            <w:r>
              <w:rPr>
                <w:rFonts w:hint="eastAsia" w:ascii="宋体" w:hAnsi="宋体"/>
                <w:b/>
                <w:sz w:val="21"/>
                <w:szCs w:val="21"/>
                <w:lang w:val="en-US" w:eastAsia="zh-CN"/>
              </w:rPr>
              <w:t>无测量情况； 基本可控。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cs="Times New Roman"/>
                <w:b/>
                <w:kern w:val="2"/>
                <w:sz w:val="21"/>
                <w:szCs w:val="21"/>
                <w:lang w:val="en-US" w:eastAsia="zh-CN" w:bidi="ar-SA"/>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numPr>
                <w:ilvl w:val="0"/>
                <w:numId w:val="4"/>
              </w:numPr>
              <w:spacing w:line="240" w:lineRule="exact"/>
              <w:ind w:left="0" w:leftChars="0" w:firstLine="0" w:firstLineChars="0"/>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240" w:lineRule="exact"/>
              <w:ind w:left="0" w:leftChars="0" w:firstLine="0" w:firstLineChars="0"/>
              <w:rPr>
                <w:rFonts w:hint="eastAsia" w:ascii="宋体" w:hAnsi="宋体" w:eastAsia="宋体" w:cs="Times New Roman"/>
                <w:b/>
                <w:kern w:val="2"/>
                <w:sz w:val="21"/>
                <w:szCs w:val="21"/>
                <w:lang w:val="en-US" w:eastAsia="zh-CN" w:bidi="ar-SA"/>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企业自体系建立以来，通过内审的改进、管理评审；纠正措施的实施、顾客满意度调查等措施，采取了具体的改进措施。基本符合要求。</w:t>
            </w:r>
          </w:p>
          <w:p>
            <w:pPr>
              <w:spacing w:line="240" w:lineRule="exact"/>
              <w:rPr>
                <w:rFonts w:hint="eastAsia" w:ascii="宋体" w:hAnsi="宋体" w:eastAsia="宋体" w:cs="宋体"/>
                <w:b/>
                <w:bCs/>
                <w:sz w:val="21"/>
                <w:szCs w:val="21"/>
              </w:rPr>
            </w:pPr>
            <w:r>
              <w:rPr>
                <w:rFonts w:hint="eastAsia" w:ascii="宋体" w:hAnsi="宋体" w:eastAsia="宋体" w:cs="宋体"/>
                <w:b/>
                <w:bCs/>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p>
            <w:pPr>
              <w:spacing w:line="240" w:lineRule="exact"/>
              <w:rPr>
                <w:rFonts w:hint="default" w:ascii="宋体" w:hAnsi="宋体" w:eastAsia="宋体" w:cs="宋体"/>
                <w:b/>
                <w:bCs/>
                <w:kern w:val="2"/>
                <w:sz w:val="21"/>
                <w:szCs w:val="21"/>
                <w:lang w:val="en-US" w:eastAsia="zh-CN" w:bidi="ar-SA"/>
              </w:rPr>
            </w:pPr>
            <w:r>
              <w:rPr>
                <w:rFonts w:hint="eastAsia" w:ascii="宋体" w:hAnsi="宋体" w:cs="宋体"/>
                <w:b/>
                <w:bCs/>
                <w:sz w:val="21"/>
                <w:szCs w:val="21"/>
                <w:lang w:val="en-US" w:eastAsia="zh-CN"/>
              </w:rPr>
              <w:t xml:space="preserve">    初次审核的不符合项（办公场所未配置灭火器等问题）已整改； 本次审核未发现类似问题。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cs="Times New Roman"/>
                <w:b/>
                <w:kern w:val="2"/>
                <w:sz w:val="21"/>
                <w:szCs w:val="21"/>
                <w:lang w:val="en-US" w:eastAsia="zh-CN" w:bidi="ar-SA"/>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120" w:leftChars="-50" w:firstLine="0" w:firstLineChars="0"/>
              <w:rPr>
                <w:rFonts w:hint="default" w:ascii="宋体" w:hAnsi="宋体" w:eastAsia="宋体" w:cs="Times New Roman"/>
                <w:b/>
                <w:kern w:val="2"/>
                <w:sz w:val="21"/>
                <w:szCs w:val="21"/>
                <w:lang w:val="en-US" w:eastAsia="zh-CN" w:bidi="ar-SA"/>
              </w:rPr>
            </w:pPr>
            <w:r>
              <w:rPr>
                <w:rFonts w:hint="eastAsia" w:ascii="宋体" w:hAnsi="宋体"/>
                <w:b/>
                <w:sz w:val="21"/>
                <w:szCs w:val="21"/>
                <w:lang w:val="en-US" w:eastAsia="zh-CN"/>
              </w:rPr>
              <w:t xml:space="preserve">  企业提供的信息未具体展开。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120" w:leftChars="-50" w:firstLine="0" w:firstLineChars="0"/>
              <w:rPr>
                <w:rFonts w:hint="eastAsia" w:ascii="宋体" w:hAnsi="宋体" w:eastAsia="宋体" w:cs="Times New Roman"/>
                <w:b/>
                <w:kern w:val="2"/>
                <w:sz w:val="21"/>
                <w:szCs w:val="21"/>
                <w:lang w:val="en-US" w:eastAsia="zh-CN" w:bidi="ar-SA"/>
              </w:rPr>
            </w:pPr>
            <w:r>
              <w:rPr>
                <w:rFonts w:hint="eastAsia" w:ascii="宋体" w:hAnsi="宋体"/>
                <w:b/>
                <w:sz w:val="21"/>
                <w:szCs w:val="21"/>
              </w:rPr>
              <w:t>已整改完毕，符合要求。</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b/>
          <w:sz w:val="21"/>
          <w:lang w:eastAsia="zh-CN"/>
        </w:rPr>
        <w:drawing>
          <wp:anchor distT="0" distB="0" distL="114300" distR="114300" simplePos="0" relativeHeight="251662336" behindDoc="1" locked="0" layoutInCell="1" allowOverlap="1">
            <wp:simplePos x="0" y="0"/>
            <wp:positionH relativeFrom="column">
              <wp:posOffset>1741805</wp:posOffset>
            </wp:positionH>
            <wp:positionV relativeFrom="paragraph">
              <wp:posOffset>52705</wp:posOffset>
            </wp:positionV>
            <wp:extent cx="723900" cy="523240"/>
            <wp:effectExtent l="0" t="0" r="0" b="10160"/>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6"/>
                    <a:stretch>
                      <a:fillRect/>
                    </a:stretch>
                  </pic:blipFill>
                  <pic:spPr>
                    <a:xfrm>
                      <a:off x="0" y="0"/>
                      <a:ext cx="723900" cy="523240"/>
                    </a:xfrm>
                    <a:prstGeom prst="rect">
                      <a:avLst/>
                    </a:prstGeom>
                  </pic:spPr>
                </pic:pic>
              </a:graphicData>
            </a:graphic>
          </wp:anchor>
        </w:drawing>
      </w:r>
      <w:r>
        <w:rPr>
          <w:rFonts w:hint="eastAsia"/>
          <w:b/>
          <w:sz w:val="26"/>
          <w:szCs w:val="26"/>
        </w:rPr>
        <w:t>十二、审核组签字</w:t>
      </w:r>
    </w:p>
    <w:p>
      <w:pPr>
        <w:snapToGrid w:val="0"/>
        <w:spacing w:line="240" w:lineRule="auto"/>
        <w:ind w:firstLine="527" w:firstLineChars="250"/>
        <w:rPr>
          <w:rFonts w:hint="eastAsia" w:eastAsia="宋体"/>
          <w:b/>
          <w:sz w:val="21"/>
          <w:lang w:eastAsia="zh-CN"/>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2021-7-15</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 xml:space="preserve">OHSMS (   </w:t>
      </w:r>
      <w:r>
        <w:rPr>
          <w:rFonts w:hint="eastAsia"/>
          <w:b/>
          <w:sz w:val="21"/>
          <w:szCs w:val="21"/>
          <w:lang w:val="en-US" w:eastAsia="zh-CN"/>
        </w:rPr>
        <w:t>0</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897" w:firstLineChars="900"/>
        <w:rPr>
          <w:b/>
          <w:sz w:val="21"/>
          <w:szCs w:val="21"/>
        </w:rPr>
      </w:pPr>
      <w:r>
        <w:rPr>
          <w:rFonts w:hint="eastAsia" w:eastAsia="宋体"/>
          <w:b/>
          <w:sz w:val="21"/>
          <w:lang w:eastAsia="zh-CN"/>
        </w:rPr>
        <w:drawing>
          <wp:anchor distT="0" distB="0" distL="114300" distR="114300" simplePos="0" relativeHeight="251663360" behindDoc="1" locked="0" layoutInCell="1" allowOverlap="1">
            <wp:simplePos x="0" y="0"/>
            <wp:positionH relativeFrom="column">
              <wp:posOffset>1094105</wp:posOffset>
            </wp:positionH>
            <wp:positionV relativeFrom="paragraph">
              <wp:posOffset>243840</wp:posOffset>
            </wp:positionV>
            <wp:extent cx="723900" cy="523240"/>
            <wp:effectExtent l="0" t="0" r="0" b="10160"/>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6"/>
                    <a:stretch>
                      <a:fillRect/>
                    </a:stretch>
                  </pic:blipFill>
                  <pic:spPr>
                    <a:xfrm>
                      <a:off x="0" y="0"/>
                      <a:ext cx="723900" cy="523240"/>
                    </a:xfrm>
                    <a:prstGeom prst="rect">
                      <a:avLst/>
                    </a:prstGeom>
                  </pic:spPr>
                </pic:pic>
              </a:graphicData>
            </a:graphic>
          </wp:anchor>
        </w:drawing>
      </w: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AB6AD7"/>
    <w:multiLevelType w:val="singleLevel"/>
    <w:tmpl w:val="E4AB6AD7"/>
    <w:lvl w:ilvl="0" w:tentative="0">
      <w:start w:val="8"/>
      <w:numFmt w:val="decimal"/>
      <w:suff w:val="space"/>
      <w:lvlText w:val="%1."/>
      <w:lvlJc w:val="left"/>
    </w:lvl>
  </w:abstractNum>
  <w:abstractNum w:abstractNumId="1">
    <w:nsid w:val="F023B400"/>
    <w:multiLevelType w:val="singleLevel"/>
    <w:tmpl w:val="F023B400"/>
    <w:lvl w:ilvl="0" w:tentative="0">
      <w:start w:val="3"/>
      <w:numFmt w:val="decimal"/>
      <w:lvlText w:val="%1."/>
      <w:lvlJc w:val="left"/>
      <w:pPr>
        <w:tabs>
          <w:tab w:val="left" w:pos="312"/>
        </w:tabs>
      </w:pPr>
    </w:lvl>
  </w:abstractNum>
  <w:abstractNum w:abstractNumId="2">
    <w:nsid w:val="1C0E6BFF"/>
    <w:multiLevelType w:val="singleLevel"/>
    <w:tmpl w:val="1C0E6BFF"/>
    <w:lvl w:ilvl="0" w:tentative="0">
      <w:start w:val="2"/>
      <w:numFmt w:val="decimal"/>
      <w:lvlText w:val="%1."/>
      <w:lvlJc w:val="left"/>
      <w:pPr>
        <w:tabs>
          <w:tab w:val="left" w:pos="312"/>
        </w:tabs>
      </w:p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60ADA30F"/>
    <w:multiLevelType w:val="singleLevel"/>
    <w:tmpl w:val="60ADA30F"/>
    <w:lvl w:ilvl="0" w:tentative="0">
      <w:start w:val="2"/>
      <w:numFmt w:val="decimal"/>
      <w:suff w:val="nothing"/>
      <w:lvlText w:val="%1、"/>
      <w:lvlJc w:val="left"/>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A570EC"/>
    <w:rsid w:val="1DE0699C"/>
    <w:rsid w:val="328668BA"/>
    <w:rsid w:val="33AE5DAD"/>
    <w:rsid w:val="64420738"/>
    <w:rsid w:val="65611C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3</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森林</cp:lastModifiedBy>
  <cp:lastPrinted>2019-04-18T08:15:00Z</cp:lastPrinted>
  <dcterms:modified xsi:type="dcterms:W3CDTF">2021-07-16T13:15:12Z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8D40585C61E64D55A6156B2CCB059D8B</vt:lpwstr>
  </property>
</Properties>
</file>