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0077-2019-2021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676"/>
        <w:gridCol w:w="1233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四川省重贵玻璃有限公司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测量设备</w:t>
            </w:r>
          </w:p>
          <w:p>
            <w:pPr>
              <w:ind w:firstLine="210" w:firstLineChars="100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测量标准装置名称及技术参数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检定/校准机构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检定/校准日期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符</w:t>
            </w:r>
            <w:r>
              <w:rPr>
                <w:rFonts w:hint="eastAsia"/>
                <w:color w:val="auto"/>
                <w:sz w:val="21"/>
                <w:szCs w:val="21"/>
              </w:rPr>
              <w:t>合打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HY-57894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0-1.6MPa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0.4级压力表检定装置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2021.06.15</w:t>
            </w:r>
          </w:p>
        </w:tc>
        <w:tc>
          <w:tcPr>
            <w:tcW w:w="1239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HY74195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0.4级压力表检定装置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2021.06.15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压力表</w:t>
            </w:r>
          </w:p>
        </w:tc>
        <w:tc>
          <w:tcPr>
            <w:tcW w:w="1234" w:type="dxa"/>
            <w:vAlign w:val="top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HY-57862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0-1.6MPa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0.4级压力表检定装置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2021.06.15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汽车衡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1901027631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SCS-100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₁</w:t>
            </w:r>
            <w:r>
              <w:rPr>
                <w:rFonts w:hint="eastAsia" w:cstheme="minorHAnsi"/>
                <w:color w:val="auto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2021.06.02</w:t>
            </w:r>
          </w:p>
        </w:tc>
        <w:tc>
          <w:tcPr>
            <w:tcW w:w="1239" w:type="dxa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4111052581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0-150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color w:val="auto"/>
                <w:sz w:val="21"/>
                <w:szCs w:val="21"/>
              </w:rPr>
              <w:t>±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0.02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㎜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5等量块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2021.05.10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生产技术部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电子计价称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14112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ACS-6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Ⅲ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HAns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M</w:t>
            </w:r>
            <w:r>
              <w:rPr>
                <w:rFonts w:hint="default" w:ascii="Calibri" w:hAnsi="Calibri" w:cs="Calibri"/>
                <w:color w:val="auto"/>
                <w:sz w:val="21"/>
                <w:szCs w:val="21"/>
                <w:lang w:val="en-US" w:eastAsia="zh-CN"/>
              </w:rPr>
              <w:t>₁</w:t>
            </w:r>
            <w:r>
              <w:rPr>
                <w:rFonts w:hint="eastAsia" w:cstheme="minorHAnsi"/>
                <w:color w:val="auto"/>
                <w:sz w:val="21"/>
                <w:szCs w:val="21"/>
                <w:lang w:val="en-US" w:eastAsia="zh-CN"/>
              </w:rPr>
              <w:t>等级砝码</w:t>
            </w:r>
          </w:p>
        </w:tc>
        <w:tc>
          <w:tcPr>
            <w:tcW w:w="1676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2021.06.02</w:t>
            </w:r>
          </w:p>
        </w:tc>
        <w:tc>
          <w:tcPr>
            <w:tcW w:w="1239" w:type="dxa"/>
            <w:vAlign w:val="top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隆昌市计量测试所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检定/校准，校准</w:t>
            </w:r>
            <w:r>
              <w:rPr>
                <w:rFonts w:ascii="Calibri" w:hAnsi="Calibri" w:eastAsia="宋体" w:cs="Calibri"/>
                <w:color w:val="auto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行政办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</w:p>
          <w:p>
            <w:pPr>
              <w:rPr>
                <w:color w:val="auto"/>
                <w:sz w:val="21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3916680</wp:posOffset>
                  </wp:positionH>
                  <wp:positionV relativeFrom="paragraph">
                    <wp:posOffset>60960</wp:posOffset>
                  </wp:positionV>
                  <wp:extent cx="429260" cy="821055"/>
                  <wp:effectExtent l="0" t="0" r="4445" b="2540"/>
                  <wp:wrapNone/>
                  <wp:docPr id="3" name="图片 3" descr="eddfc59233144ed9538a3a86a4aa8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ddfc59233144ed9538a3a86a4aa86e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29260" cy="82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日期：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月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日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月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 xml:space="preserve"> 日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916305</wp:posOffset>
                  </wp:positionH>
                  <wp:positionV relativeFrom="paragraph">
                    <wp:posOffset>10795</wp:posOffset>
                  </wp:positionV>
                  <wp:extent cx="805180" cy="260985"/>
                  <wp:effectExtent l="0" t="0" r="7620" b="5715"/>
                  <wp:wrapNone/>
                  <wp:docPr id="2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948D85"/>
                              </a:clrFrom>
                              <a:clrTo>
                                <a:srgbClr val="948D85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  <w:t xml:space="preserve"> </w:t>
            </w:r>
            <w:bookmarkStart w:id="2" w:name="_GoBack"/>
            <w:bookmarkEnd w:id="2"/>
          </w:p>
          <w:p>
            <w:pPr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</w:tbl>
    <w:p>
      <w:pPr>
        <w:rPr>
          <w:color w:val="auto"/>
          <w:sz w:val="21"/>
          <w:szCs w:val="21"/>
        </w:rPr>
      </w:pPr>
    </w:p>
    <w:p>
      <w:r>
        <w:rPr>
          <w:rFonts w:hint="eastAsia"/>
          <w:color w:val="auto"/>
          <w:sz w:val="21"/>
          <w:szCs w:val="21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61312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62336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A75B7D"/>
    <w:rsid w:val="6B2A2D65"/>
    <w:rsid w:val="75687E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兴武老孙</cp:lastModifiedBy>
  <dcterms:modified xsi:type="dcterms:W3CDTF">2021-07-13T23:23:46Z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5C227301C63848FE93315649B330D15B</vt:lpwstr>
  </property>
</Properties>
</file>