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四川省宏利玻璃制品有限公司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车碧波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查见适用的法律法规和其它要求清单中未识别《中华人民共和国民法典》。不符合标准 GB/T 24001-2016 idt ISO 14001:2015的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6.1.3条款，组织应保持其合规化义务的文件化信息。</w:t>
            </w:r>
          </w:p>
          <w:p>
            <w:pPr>
              <w:pStyle w:val="2"/>
              <w:ind w:firstLine="422" w:firstLineChars="2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81BA3"/>
    <w:rsid w:val="0E8D3CCE"/>
    <w:rsid w:val="0F6209DD"/>
    <w:rsid w:val="138E2D9A"/>
    <w:rsid w:val="2BC627E3"/>
    <w:rsid w:val="30B505D7"/>
    <w:rsid w:val="36E062A0"/>
    <w:rsid w:val="3BC41548"/>
    <w:rsid w:val="4BDB5AD3"/>
    <w:rsid w:val="55C94AFA"/>
    <w:rsid w:val="602752C7"/>
    <w:rsid w:val="71FE55ED"/>
    <w:rsid w:val="7EDC5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2021-07-16T02:33:01Z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06F81F436D0549DE88309746832F59FF</vt:lpwstr>
  </property>
</Properties>
</file>