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2"/>
        <w:gridCol w:w="119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四川省宏利玻璃制品有限公司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冯世琴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罗田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切片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磨边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钻孔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钢化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丝印——包装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需确认/特殊过程：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钢化、丝印过程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重要环境因素有：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潜在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火灾、固废排放、废气排放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噪声排放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有机废气排放、废水排放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中华人民共和国环境保护法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中华人民共和国水污染防治法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环境噪声污染防治法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半钢化玻璃标准GB/T17841-2008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钢化玻璃标准GB/T15763.2-2005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平板玻璃标准GB11614-2009和客户技术要求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无型式试验要求，对产品尺寸、性能进行检验。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bookmarkStart w:id="6" w:name="_GoBack"/>
      <w:bookmarkEnd w:id="6"/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D57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2021-07-16T01:56:17Z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B6342FAA5BF3460B9BAE0BB9FF47E68C</vt:lpwstr>
  </property>
</Properties>
</file>