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479"/>
        <w:gridCol w:w="663"/>
        <w:gridCol w:w="984"/>
        <w:gridCol w:w="528"/>
        <w:gridCol w:w="890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四川省宏利玻璃制品有限公司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17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0714-2021-QE</w:t>
            </w:r>
            <w:bookmarkEnd w:id="1"/>
          </w:p>
        </w:tc>
        <w:tc>
          <w:tcPr>
            <w:tcW w:w="6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906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7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令狐昌勇</w:t>
            </w:r>
            <w:bookmarkEnd w:id="5"/>
          </w:p>
        </w:tc>
        <w:tc>
          <w:tcPr>
            <w:tcW w:w="6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0838-5198393</w:t>
            </w:r>
            <w:bookmarkEnd w:id="6"/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2381350167@qq.com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72" w:type="dxa"/>
            <w:gridSpan w:val="5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吴业统</w:t>
            </w:r>
          </w:p>
        </w:tc>
        <w:tc>
          <w:tcPr>
            <w:tcW w:w="6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15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Q：电子电器玻璃制品的生产（3C产品除外）</w:t>
            </w:r>
          </w:p>
          <w:p>
            <w:r>
              <w:t>E：电子电器玻璃制品的生产（3C产品除外）所涉及场所的相关环境管理活动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Q：15.01.05</w:t>
            </w:r>
          </w:p>
          <w:p>
            <w:r>
              <w:t>E：15.01.05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2021年07月15日 上午至2021年07月16日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13882361742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冯世琴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E:15.01.05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18987127132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2021.07.12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37"/>
        <w:gridCol w:w="705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李林、冯世琴、罗田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5" w:hRule="atLeast"/>
        </w:trPr>
        <w:tc>
          <w:tcPr>
            <w:tcW w:w="6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中午休息1小时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 xml:space="preserve">⑴ 通过对受审核方的管理、生产现场进行观察，从总体上初步判断受审核方的实际情况（包括实际的产品或服务类别与控制、部门设置、资源状况等）与成文信息的一致性，为第二阶段审核的准备情况。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⑶ 评价所建立的管理体系文件与审核准则和认证要求的符合性/适宜性；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⑻了解为第二阶段审核所需资源的配置情况；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李林、冯世琴、罗田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6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⑼确定管理层二阶段审核的重点。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⑽确认体系策划部门是否按要求建立、实施、保持并持续改进了体系。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⑿适用法律法规、技术标准识别的充分性，收集合规性的证据。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李林、冯世琴、罗田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6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李林、冯世琴、罗田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92687"/>
    <w:rsid w:val="14D36820"/>
    <w:rsid w:val="2EC472A2"/>
    <w:rsid w:val="32D478FC"/>
    <w:rsid w:val="34D6536F"/>
    <w:rsid w:val="35B643B0"/>
    <w:rsid w:val="39754130"/>
    <w:rsid w:val="397E3A16"/>
    <w:rsid w:val="3AED2096"/>
    <w:rsid w:val="3CF46CDC"/>
    <w:rsid w:val="46A53849"/>
    <w:rsid w:val="4F625308"/>
    <w:rsid w:val="54C71B1D"/>
    <w:rsid w:val="57BD72B8"/>
    <w:rsid w:val="5EA712D1"/>
    <w:rsid w:val="69F23FEC"/>
    <w:rsid w:val="72D35FF4"/>
    <w:rsid w:val="72FB0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2021-07-16T01:44:20Z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27497B1A3F15458BA82113A1A822DD91</vt:lpwstr>
  </property>
</Properties>
</file>