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受审核方：江西大佑农生物科技有限公司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褚敏杰</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2021-N1QMS-3068076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ISC-68076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陈锐</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ISC-JSZJ-130</w:t>
            </w:r>
          </w:p>
          <w:p>
            <w:pPr>
              <w:jc w:val="center"/>
              <w:rPr>
                <w:b/>
                <w:sz w:val="21"/>
                <w:szCs w:val="21"/>
              </w:rPr>
            </w:pPr>
            <w:r>
              <w:rPr>
                <w:b/>
                <w:sz w:val="21"/>
                <w:szCs w:val="21"/>
              </w:rPr>
              <w:t>江西省九洲澳普通风设备有限公司</w:t>
            </w:r>
          </w:p>
        </w:tc>
        <w:tc>
          <w:tcPr>
            <w:tcW w:w="1728" w:type="dxa"/>
            <w:gridSpan w:val="2"/>
            <w:vAlign w:val="center"/>
          </w:tcPr>
          <w:p>
            <w:pPr>
              <w:jc w:val="center"/>
              <w:rPr>
                <w:b/>
                <w:sz w:val="21"/>
                <w:szCs w:val="21"/>
              </w:rPr>
            </w:pPr>
            <w:r>
              <w:rPr>
                <w:b/>
                <w:sz w:val="21"/>
                <w:szCs w:val="21"/>
              </w:rPr>
              <w:t>03.09.01,03.09.02</w:t>
            </w:r>
          </w:p>
        </w:tc>
        <w:tc>
          <w:tcPr>
            <w:tcW w:w="1729" w:type="dxa"/>
            <w:gridSpan w:val="2"/>
            <w:vAlign w:val="center"/>
          </w:tcPr>
          <w:p>
            <w:pPr>
              <w:jc w:val="center"/>
              <w:rPr>
                <w:b/>
                <w:sz w:val="21"/>
                <w:szCs w:val="21"/>
              </w:rPr>
            </w:pPr>
            <w:r>
              <w:rPr>
                <w:b/>
                <w:sz w:val="21"/>
                <w:szCs w:val="21"/>
              </w:rPr>
              <w:t>ISC-JSZJ-130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rFonts w:hint="eastAsia"/>
          <w:b/>
          <w:sz w:val="21"/>
          <w:szCs w:val="21"/>
        </w:rPr>
      </w:pPr>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p>
    <w:p>
      <w:pPr>
        <w:tabs>
          <w:tab w:val="left" w:pos="645"/>
        </w:tabs>
        <w:rPr>
          <w:rFonts w:hint="eastAsia"/>
          <w:b/>
          <w:sz w:val="21"/>
          <w:szCs w:val="21"/>
        </w:rPr>
      </w:pPr>
      <w:r>
        <w:rPr>
          <w:rFonts w:hint="eastAsia"/>
          <w:b/>
          <w:sz w:val="21"/>
          <w:szCs w:val="21"/>
        </w:rPr>
        <w:sym w:font="Wingdings 2" w:char="0052"/>
      </w:r>
      <w:r>
        <w:rPr>
          <w:rFonts w:hint="eastAsia"/>
          <w:b/>
          <w:sz w:val="21"/>
          <w:szCs w:val="21"/>
        </w:rPr>
        <w:t>适用的法律法规</w:t>
      </w:r>
    </w:p>
    <w:p>
      <w:pPr>
        <w:tabs>
          <w:tab w:val="left" w:pos="645"/>
        </w:tabs>
        <w:rPr>
          <w:rFonts w:hint="eastAsia"/>
          <w:b/>
          <w:sz w:val="21"/>
          <w:szCs w:val="21"/>
        </w:rPr>
      </w:pPr>
      <w:r>
        <w:rPr>
          <w:rFonts w:hint="eastAsia"/>
          <w:b/>
          <w:sz w:val="21"/>
          <w:szCs w:val="21"/>
        </w:rPr>
        <w:sym w:font="Wingdings 2" w:char="0052"/>
      </w:r>
      <w:r>
        <w:rPr>
          <w:rFonts w:hint="eastAsia"/>
          <w:b/>
          <w:sz w:val="21"/>
          <w:szCs w:val="21"/>
        </w:rPr>
        <w:t>认证合同</w:t>
      </w:r>
    </w:p>
    <w:p>
      <w:pPr>
        <w:tabs>
          <w:tab w:val="left" w:pos="645"/>
        </w:tabs>
        <w:rPr>
          <w:rFonts w:hint="eastAsia"/>
          <w:b/>
          <w:sz w:val="21"/>
          <w:szCs w:val="21"/>
        </w:rPr>
      </w:pP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07"/>
        <w:gridCol w:w="1859"/>
        <w:gridCol w:w="1109"/>
        <w:gridCol w:w="1757"/>
        <w:gridCol w:w="153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48" w:type="dxa"/>
            <w:gridSpan w:val="2"/>
            <w:vAlign w:val="center"/>
          </w:tcPr>
          <w:p>
            <w:pPr>
              <w:spacing w:line="360" w:lineRule="auto"/>
              <w:jc w:val="both"/>
              <w:rPr>
                <w:rFonts w:ascii="宋体"/>
                <w:b/>
                <w:sz w:val="16"/>
                <w:szCs w:val="16"/>
              </w:rPr>
            </w:pPr>
            <w:r>
              <w:rPr>
                <w:rFonts w:hint="eastAsia" w:ascii="宋体" w:hAnsi="宋体"/>
                <w:b/>
                <w:sz w:val="21"/>
              </w:rPr>
              <w:t>受审核方名称</w:t>
            </w:r>
          </w:p>
        </w:tc>
        <w:tc>
          <w:tcPr>
            <w:tcW w:w="4725" w:type="dxa"/>
            <w:gridSpan w:val="3"/>
            <w:vAlign w:val="center"/>
          </w:tcPr>
          <w:p>
            <w:pPr>
              <w:spacing w:line="360" w:lineRule="auto"/>
              <w:jc w:val="both"/>
              <w:rPr>
                <w:rFonts w:ascii="宋体"/>
                <w:b/>
                <w:color w:val="FF0000"/>
                <w:sz w:val="21"/>
              </w:rPr>
            </w:pPr>
            <w:bookmarkStart w:id="10" w:name="组织名称Add"/>
            <w:r>
              <w:rPr>
                <w:rFonts w:ascii="宋体"/>
                <w:b/>
                <w:color w:val="FF0000"/>
                <w:sz w:val="21"/>
              </w:rPr>
              <w:t>江西大佑农生物科技有限公司</w:t>
            </w:r>
            <w:bookmarkEnd w:id="10"/>
          </w:p>
        </w:tc>
        <w:tc>
          <w:tcPr>
            <w:tcW w:w="1533" w:type="dxa"/>
            <w:vAlign w:val="center"/>
          </w:tcPr>
          <w:p>
            <w:pPr>
              <w:spacing w:line="240" w:lineRule="auto"/>
              <w:jc w:val="both"/>
              <w:rPr>
                <w:rFonts w:ascii="宋体"/>
                <w:b/>
                <w:sz w:val="21"/>
              </w:rPr>
            </w:pPr>
            <w:r>
              <w:rPr>
                <w:rFonts w:hint="eastAsia" w:ascii="宋体" w:hAnsi="宋体"/>
                <w:b/>
                <w:sz w:val="21"/>
              </w:rPr>
              <w:t>组织人数及</w:t>
            </w:r>
          </w:p>
          <w:p>
            <w:pPr>
              <w:spacing w:line="240" w:lineRule="auto"/>
              <w:jc w:val="both"/>
              <w:rPr>
                <w:b/>
                <w:spacing w:val="-20"/>
              </w:rPr>
            </w:pPr>
            <w:r>
              <w:rPr>
                <w:rFonts w:hint="eastAsia" w:ascii="宋体" w:hAnsi="宋体"/>
                <w:b/>
                <w:sz w:val="21"/>
              </w:rPr>
              <w:t>变动情况核实</w:t>
            </w:r>
          </w:p>
        </w:tc>
        <w:tc>
          <w:tcPr>
            <w:tcW w:w="1500" w:type="dxa"/>
            <w:vAlign w:val="center"/>
          </w:tcPr>
          <w:p>
            <w:pPr>
              <w:spacing w:line="360" w:lineRule="auto"/>
              <w:jc w:val="both"/>
              <w:rPr>
                <w:rFonts w:hint="default" w:ascii="宋体" w:eastAsia="宋体"/>
                <w:b/>
                <w:sz w:val="21"/>
                <w:lang w:val="en-US" w:eastAsia="zh-CN"/>
              </w:rPr>
            </w:pPr>
            <w:r>
              <w:rPr>
                <w:rFonts w:hint="eastAsia" w:ascii="宋体"/>
                <w:b/>
                <w:sz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48" w:type="dxa"/>
            <w:gridSpan w:val="2"/>
            <w:vAlign w:val="center"/>
          </w:tcPr>
          <w:p>
            <w:pPr>
              <w:spacing w:line="360" w:lineRule="auto"/>
              <w:jc w:val="both"/>
              <w:rPr>
                <w:b/>
                <w:sz w:val="16"/>
                <w:szCs w:val="16"/>
              </w:rPr>
            </w:pPr>
            <w:r>
              <w:rPr>
                <w:rFonts w:hint="eastAsia" w:ascii="宋体" w:hAnsi="宋体"/>
                <w:b/>
                <w:sz w:val="21"/>
                <w:szCs w:val="21"/>
              </w:rPr>
              <w:t>注册地址</w:t>
            </w:r>
          </w:p>
        </w:tc>
        <w:tc>
          <w:tcPr>
            <w:tcW w:w="4725" w:type="dxa"/>
            <w:gridSpan w:val="3"/>
            <w:vAlign w:val="center"/>
          </w:tcPr>
          <w:p>
            <w:pPr>
              <w:spacing w:line="360" w:lineRule="auto"/>
              <w:jc w:val="both"/>
              <w:rPr>
                <w:rFonts w:ascii="宋体"/>
                <w:b/>
                <w:sz w:val="21"/>
              </w:rPr>
            </w:pPr>
            <w:bookmarkStart w:id="11" w:name="注册地址"/>
            <w:r>
              <w:rPr>
                <w:rFonts w:ascii="宋体"/>
                <w:b/>
                <w:sz w:val="21"/>
              </w:rPr>
              <w:t>江西省南昌市南昌经济技术开发区沙港路118号</w:t>
            </w:r>
            <w:bookmarkEnd w:id="11"/>
          </w:p>
        </w:tc>
        <w:tc>
          <w:tcPr>
            <w:tcW w:w="1533" w:type="dxa"/>
            <w:vMerge w:val="restart"/>
            <w:vAlign w:val="center"/>
          </w:tcPr>
          <w:p>
            <w:pPr>
              <w:spacing w:line="360" w:lineRule="auto"/>
              <w:jc w:val="both"/>
              <w:rPr>
                <w:rFonts w:ascii="宋体"/>
                <w:b/>
                <w:sz w:val="21"/>
              </w:rPr>
            </w:pPr>
            <w:r>
              <w:rPr>
                <w:rFonts w:hint="eastAsia" w:ascii="宋体" w:hAnsi="宋体"/>
                <w:b/>
                <w:sz w:val="21"/>
              </w:rPr>
              <w:t>邮编</w:t>
            </w:r>
          </w:p>
        </w:tc>
        <w:tc>
          <w:tcPr>
            <w:tcW w:w="1500" w:type="dxa"/>
            <w:vAlign w:val="center"/>
          </w:tcPr>
          <w:p>
            <w:pPr>
              <w:spacing w:line="360" w:lineRule="auto"/>
              <w:jc w:val="both"/>
              <w:rPr>
                <w:rFonts w:ascii="宋体"/>
                <w:b/>
                <w:sz w:val="21"/>
              </w:rPr>
            </w:pPr>
            <w:bookmarkStart w:id="12" w:name="注册邮编"/>
            <w:r>
              <w:rPr>
                <w:rFonts w:ascii="宋体"/>
                <w:b/>
                <w:sz w:val="21"/>
              </w:rPr>
              <w:t>330013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48" w:type="dxa"/>
            <w:gridSpan w:val="2"/>
            <w:vAlign w:val="center"/>
          </w:tcPr>
          <w:p>
            <w:pPr>
              <w:spacing w:line="360" w:lineRule="auto"/>
              <w:jc w:val="both"/>
              <w:rPr>
                <w:rFonts w:ascii="宋体"/>
                <w:b/>
                <w:sz w:val="21"/>
                <w:szCs w:val="21"/>
              </w:rPr>
            </w:pPr>
            <w:r>
              <w:rPr>
                <w:rFonts w:hint="eastAsia" w:ascii="宋体" w:hAnsi="宋体"/>
                <w:b/>
                <w:sz w:val="21"/>
                <w:szCs w:val="21"/>
              </w:rPr>
              <w:t>经营地址</w:t>
            </w:r>
          </w:p>
        </w:tc>
        <w:tc>
          <w:tcPr>
            <w:tcW w:w="4725" w:type="dxa"/>
            <w:gridSpan w:val="3"/>
            <w:vAlign w:val="center"/>
          </w:tcPr>
          <w:p>
            <w:pPr>
              <w:spacing w:line="360" w:lineRule="auto"/>
              <w:jc w:val="both"/>
              <w:rPr>
                <w:rFonts w:ascii="宋体"/>
                <w:b/>
                <w:sz w:val="21"/>
              </w:rPr>
            </w:pPr>
            <w:bookmarkStart w:id="13" w:name="生产地址"/>
            <w:r>
              <w:rPr>
                <w:rFonts w:ascii="宋体"/>
                <w:b/>
                <w:sz w:val="21"/>
              </w:rPr>
              <w:t>江西省南昌市南昌经济技术开发区沙港路118号</w:t>
            </w:r>
            <w:bookmarkEnd w:id="13"/>
          </w:p>
        </w:tc>
        <w:tc>
          <w:tcPr>
            <w:tcW w:w="1533" w:type="dxa"/>
            <w:vMerge w:val="continue"/>
            <w:vAlign w:val="center"/>
          </w:tcPr>
          <w:p>
            <w:pPr>
              <w:spacing w:line="360" w:lineRule="auto"/>
              <w:jc w:val="both"/>
              <w:rPr>
                <w:rFonts w:ascii="宋体"/>
                <w:b/>
                <w:sz w:val="21"/>
              </w:rPr>
            </w:pPr>
          </w:p>
        </w:tc>
        <w:tc>
          <w:tcPr>
            <w:tcW w:w="1500" w:type="dxa"/>
            <w:vAlign w:val="center"/>
          </w:tcPr>
          <w:p>
            <w:pPr>
              <w:spacing w:line="360" w:lineRule="auto"/>
              <w:jc w:val="both"/>
              <w:rPr>
                <w:rFonts w:ascii="宋体"/>
                <w:b/>
                <w:sz w:val="21"/>
              </w:rPr>
            </w:pPr>
            <w:bookmarkStart w:id="14" w:name="办公邮编"/>
            <w:r>
              <w:rPr>
                <w:rFonts w:ascii="宋体"/>
                <w:b/>
                <w:sz w:val="21"/>
              </w:rPr>
              <w:t>330013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48" w:type="dxa"/>
            <w:gridSpan w:val="2"/>
            <w:vAlign w:val="center"/>
          </w:tcPr>
          <w:p>
            <w:pPr>
              <w:spacing w:line="360" w:lineRule="auto"/>
              <w:jc w:val="both"/>
              <w:rPr>
                <w:rFonts w:ascii="宋体"/>
                <w:b/>
                <w:color w:val="000000"/>
                <w:sz w:val="21"/>
                <w:szCs w:val="21"/>
              </w:rPr>
            </w:pPr>
            <w:r>
              <w:rPr>
                <w:rFonts w:hint="eastAsia" w:ascii="宋体" w:hAnsi="宋体"/>
                <w:b/>
                <w:color w:val="000000"/>
                <w:sz w:val="21"/>
                <w:szCs w:val="21"/>
              </w:rPr>
              <w:t>生产地址</w:t>
            </w:r>
          </w:p>
        </w:tc>
        <w:tc>
          <w:tcPr>
            <w:tcW w:w="4725" w:type="dxa"/>
            <w:gridSpan w:val="3"/>
            <w:vAlign w:val="center"/>
          </w:tcPr>
          <w:p>
            <w:pPr>
              <w:spacing w:line="360" w:lineRule="auto"/>
              <w:jc w:val="both"/>
              <w:rPr>
                <w:rFonts w:ascii="宋体"/>
                <w:b/>
                <w:sz w:val="21"/>
              </w:rPr>
            </w:pPr>
            <w:bookmarkStart w:id="15" w:name="生产地址Add"/>
            <w:r>
              <w:rPr>
                <w:rFonts w:ascii="宋体"/>
                <w:b/>
                <w:sz w:val="21"/>
              </w:rPr>
              <w:t>江西省南昌市南昌经济技术开发区沙港路118号</w:t>
            </w:r>
            <w:bookmarkEnd w:id="15"/>
          </w:p>
        </w:tc>
        <w:tc>
          <w:tcPr>
            <w:tcW w:w="1533" w:type="dxa"/>
            <w:vMerge w:val="continue"/>
            <w:vAlign w:val="center"/>
          </w:tcPr>
          <w:p>
            <w:pPr>
              <w:spacing w:line="360" w:lineRule="auto"/>
              <w:jc w:val="both"/>
              <w:rPr>
                <w:rFonts w:ascii="宋体"/>
                <w:b/>
                <w:sz w:val="21"/>
              </w:rPr>
            </w:pPr>
          </w:p>
        </w:tc>
        <w:tc>
          <w:tcPr>
            <w:tcW w:w="1500" w:type="dxa"/>
            <w:vAlign w:val="center"/>
          </w:tcPr>
          <w:p>
            <w:pPr>
              <w:spacing w:line="360" w:lineRule="auto"/>
              <w:jc w:val="both"/>
              <w:rPr>
                <w:rFonts w:ascii="宋体"/>
                <w:b/>
                <w:sz w:val="21"/>
              </w:rPr>
            </w:pPr>
            <w:bookmarkStart w:id="16" w:name="生产邮编"/>
            <w:r>
              <w:rPr>
                <w:rFonts w:ascii="宋体"/>
                <w:b/>
                <w:sz w:val="21"/>
              </w:rPr>
              <w:t>330013</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48" w:type="dxa"/>
            <w:gridSpan w:val="2"/>
            <w:vAlign w:val="center"/>
          </w:tcPr>
          <w:p>
            <w:pPr>
              <w:spacing w:line="360" w:lineRule="auto"/>
              <w:jc w:val="both"/>
              <w:rPr>
                <w:rFonts w:ascii="宋体"/>
                <w:b/>
                <w:sz w:val="21"/>
              </w:rPr>
            </w:pPr>
            <w:r>
              <w:rPr>
                <w:rFonts w:hint="eastAsia" w:ascii="宋体" w:hAnsi="宋体"/>
                <w:b/>
                <w:sz w:val="21"/>
              </w:rPr>
              <w:t>联系人</w:t>
            </w:r>
          </w:p>
        </w:tc>
        <w:tc>
          <w:tcPr>
            <w:tcW w:w="1859" w:type="dxa"/>
            <w:vAlign w:val="center"/>
          </w:tcPr>
          <w:p>
            <w:pPr>
              <w:spacing w:line="360" w:lineRule="auto"/>
              <w:jc w:val="both"/>
              <w:rPr>
                <w:rFonts w:ascii="宋体"/>
                <w:b/>
                <w:sz w:val="21"/>
              </w:rPr>
            </w:pPr>
            <w:bookmarkStart w:id="17" w:name="联系人"/>
            <w:r>
              <w:rPr>
                <w:rFonts w:ascii="宋体"/>
                <w:b/>
                <w:sz w:val="21"/>
              </w:rPr>
              <w:t>曹江山</w:t>
            </w:r>
            <w:bookmarkEnd w:id="17"/>
          </w:p>
        </w:tc>
        <w:tc>
          <w:tcPr>
            <w:tcW w:w="1109" w:type="dxa"/>
            <w:vAlign w:val="center"/>
          </w:tcPr>
          <w:p>
            <w:pPr>
              <w:spacing w:line="360" w:lineRule="auto"/>
              <w:jc w:val="both"/>
              <w:rPr>
                <w:rFonts w:ascii="宋体"/>
                <w:b/>
                <w:sz w:val="21"/>
              </w:rPr>
            </w:pPr>
            <w:r>
              <w:rPr>
                <w:rFonts w:hint="eastAsia" w:ascii="宋体" w:hAnsi="宋体"/>
                <w:b/>
                <w:sz w:val="21"/>
              </w:rPr>
              <w:t>电话</w:t>
            </w:r>
            <w:r>
              <w:rPr>
                <w:b/>
                <w:sz w:val="16"/>
                <w:szCs w:val="16"/>
              </w:rPr>
              <w:t>.</w:t>
            </w:r>
          </w:p>
        </w:tc>
        <w:tc>
          <w:tcPr>
            <w:tcW w:w="1757" w:type="dxa"/>
            <w:vAlign w:val="center"/>
          </w:tcPr>
          <w:p>
            <w:pPr>
              <w:spacing w:line="360" w:lineRule="auto"/>
              <w:jc w:val="both"/>
              <w:rPr>
                <w:rFonts w:ascii="宋体"/>
                <w:b/>
                <w:sz w:val="21"/>
              </w:rPr>
            </w:pPr>
            <w:bookmarkStart w:id="18" w:name="联系人电话Add"/>
            <w:r>
              <w:rPr>
                <w:rFonts w:ascii="宋体"/>
                <w:b/>
                <w:sz w:val="21"/>
              </w:rPr>
              <w:t>0791-87708811</w:t>
            </w:r>
            <w:bookmarkEnd w:id="18"/>
          </w:p>
        </w:tc>
        <w:tc>
          <w:tcPr>
            <w:tcW w:w="1533" w:type="dxa"/>
            <w:vAlign w:val="center"/>
          </w:tcPr>
          <w:p>
            <w:pPr>
              <w:spacing w:line="360" w:lineRule="auto"/>
              <w:jc w:val="both"/>
              <w:rPr>
                <w:rFonts w:ascii="宋体"/>
                <w:b/>
                <w:sz w:val="21"/>
              </w:rPr>
            </w:pPr>
            <w:r>
              <w:rPr>
                <w:rFonts w:hint="eastAsia" w:ascii="宋体" w:hAnsi="宋体"/>
                <w:b/>
                <w:sz w:val="21"/>
              </w:rPr>
              <w:t>传真</w:t>
            </w:r>
          </w:p>
        </w:tc>
        <w:tc>
          <w:tcPr>
            <w:tcW w:w="1500" w:type="dxa"/>
            <w:vAlign w:val="center"/>
          </w:tcPr>
          <w:p>
            <w:pPr>
              <w:spacing w:line="360" w:lineRule="auto"/>
              <w:jc w:val="both"/>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48" w:type="dxa"/>
            <w:gridSpan w:val="2"/>
            <w:vAlign w:val="center"/>
          </w:tcPr>
          <w:p>
            <w:pPr>
              <w:spacing w:line="360" w:lineRule="auto"/>
              <w:jc w:val="both"/>
              <w:rPr>
                <w:rFonts w:ascii="宋体" w:hAnsi="宋体"/>
                <w:b/>
                <w:sz w:val="21"/>
                <w:szCs w:val="21"/>
              </w:rPr>
            </w:pPr>
            <w:r>
              <w:rPr>
                <w:rFonts w:hint="eastAsia" w:ascii="宋体" w:hAnsi="宋体"/>
                <w:b/>
                <w:sz w:val="21"/>
                <w:szCs w:val="21"/>
              </w:rPr>
              <w:t>法人代表</w:t>
            </w:r>
          </w:p>
        </w:tc>
        <w:tc>
          <w:tcPr>
            <w:tcW w:w="1859" w:type="dxa"/>
            <w:vAlign w:val="center"/>
          </w:tcPr>
          <w:p>
            <w:pPr>
              <w:spacing w:line="360" w:lineRule="auto"/>
              <w:jc w:val="both"/>
              <w:rPr>
                <w:rFonts w:ascii="宋体" w:hAnsi="宋体"/>
                <w:b/>
                <w:sz w:val="21"/>
                <w:szCs w:val="21"/>
              </w:rPr>
            </w:pPr>
            <w:bookmarkStart w:id="20" w:name="法人"/>
            <w:r>
              <w:rPr>
                <w:rFonts w:ascii="宋体" w:hAnsi="宋体"/>
                <w:b/>
                <w:sz w:val="21"/>
                <w:szCs w:val="21"/>
              </w:rPr>
              <w:t>曾玮</w:t>
            </w:r>
            <w:bookmarkEnd w:id="20"/>
          </w:p>
        </w:tc>
        <w:tc>
          <w:tcPr>
            <w:tcW w:w="1109" w:type="dxa"/>
            <w:vAlign w:val="center"/>
          </w:tcPr>
          <w:p>
            <w:pPr>
              <w:spacing w:line="360" w:lineRule="auto"/>
              <w:jc w:val="both"/>
              <w:rPr>
                <w:rFonts w:ascii="宋体" w:hAnsi="宋体"/>
                <w:b/>
                <w:sz w:val="21"/>
                <w:szCs w:val="21"/>
              </w:rPr>
            </w:pPr>
            <w:r>
              <w:rPr>
                <w:rFonts w:hint="eastAsia" w:ascii="宋体" w:hAnsi="宋体"/>
                <w:b/>
                <w:sz w:val="21"/>
                <w:szCs w:val="21"/>
              </w:rPr>
              <w:t>总经理</w:t>
            </w:r>
          </w:p>
        </w:tc>
        <w:tc>
          <w:tcPr>
            <w:tcW w:w="1757" w:type="dxa"/>
            <w:vAlign w:val="center"/>
          </w:tcPr>
          <w:p>
            <w:pPr>
              <w:spacing w:line="360" w:lineRule="auto"/>
              <w:jc w:val="both"/>
              <w:rPr>
                <w:rFonts w:ascii="宋体" w:hAnsi="宋体"/>
                <w:b/>
                <w:sz w:val="21"/>
                <w:szCs w:val="21"/>
              </w:rPr>
            </w:pPr>
          </w:p>
        </w:tc>
        <w:tc>
          <w:tcPr>
            <w:tcW w:w="1533" w:type="dxa"/>
            <w:vAlign w:val="center"/>
          </w:tcPr>
          <w:p>
            <w:pPr>
              <w:spacing w:line="360" w:lineRule="auto"/>
              <w:jc w:val="both"/>
              <w:rPr>
                <w:rFonts w:ascii="宋体" w:hAnsi="宋体"/>
                <w:b/>
                <w:sz w:val="21"/>
                <w:szCs w:val="21"/>
              </w:rPr>
            </w:pPr>
            <w:r>
              <w:rPr>
                <w:rFonts w:hint="eastAsia" w:ascii="宋体" w:hAnsi="宋体"/>
                <w:b/>
                <w:sz w:val="21"/>
                <w:szCs w:val="21"/>
              </w:rPr>
              <w:t>管理者代表</w:t>
            </w:r>
          </w:p>
        </w:tc>
        <w:tc>
          <w:tcPr>
            <w:tcW w:w="1500" w:type="dxa"/>
            <w:vAlign w:val="center"/>
          </w:tcPr>
          <w:p>
            <w:pPr>
              <w:spacing w:line="360" w:lineRule="auto"/>
              <w:jc w:val="both"/>
              <w:rPr>
                <w:rFonts w:ascii="宋体"/>
                <w:b/>
                <w:sz w:val="21"/>
              </w:rPr>
            </w:pPr>
            <w:bookmarkStart w:id="21" w:name="管理者代表"/>
            <w:r>
              <w:rPr>
                <w:rFonts w:ascii="宋体"/>
                <w:b/>
                <w:sz w:val="21"/>
              </w:rPr>
              <w:t>肖晓愈</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48" w:type="dxa"/>
            <w:gridSpan w:val="2"/>
            <w:vAlign w:val="center"/>
          </w:tcPr>
          <w:p>
            <w:pPr>
              <w:spacing w:line="360" w:lineRule="auto"/>
              <w:jc w:val="both"/>
              <w:rPr>
                <w:rFonts w:ascii="宋体" w:hAnsi="宋体"/>
                <w:b/>
                <w:sz w:val="21"/>
                <w:szCs w:val="21"/>
              </w:rPr>
            </w:pPr>
            <w:r>
              <w:rPr>
                <w:rFonts w:hint="eastAsia" w:ascii="宋体" w:hAnsi="宋体"/>
                <w:b/>
                <w:sz w:val="21"/>
                <w:szCs w:val="21"/>
              </w:rPr>
              <w:t>审核日期</w:t>
            </w:r>
          </w:p>
        </w:tc>
        <w:tc>
          <w:tcPr>
            <w:tcW w:w="2968" w:type="dxa"/>
            <w:gridSpan w:val="2"/>
            <w:vAlign w:val="center"/>
          </w:tcPr>
          <w:p>
            <w:pPr>
              <w:spacing w:line="360" w:lineRule="auto"/>
              <w:jc w:val="both"/>
              <w:rPr>
                <w:rFonts w:ascii="宋体" w:hAnsi="宋体"/>
                <w:b/>
                <w:sz w:val="21"/>
                <w:szCs w:val="21"/>
              </w:rPr>
            </w:pPr>
            <w:bookmarkStart w:id="22" w:name="审核日期"/>
            <w:r>
              <w:rPr>
                <w:rFonts w:ascii="宋体" w:hAnsi="宋体"/>
                <w:b/>
                <w:sz w:val="21"/>
                <w:szCs w:val="21"/>
              </w:rPr>
              <w:t>2021年07月13日 上午至2021年07月13日 下午</w:t>
            </w:r>
            <w:bookmarkEnd w:id="22"/>
          </w:p>
        </w:tc>
        <w:tc>
          <w:tcPr>
            <w:tcW w:w="1757" w:type="dxa"/>
            <w:vAlign w:val="center"/>
          </w:tcPr>
          <w:p>
            <w:pPr>
              <w:spacing w:line="360" w:lineRule="auto"/>
              <w:jc w:val="both"/>
              <w:rPr>
                <w:rFonts w:ascii="宋体" w:hAnsi="宋体"/>
                <w:b/>
                <w:sz w:val="21"/>
                <w:szCs w:val="21"/>
              </w:rPr>
            </w:pPr>
            <w:r>
              <w:rPr>
                <w:rFonts w:hint="eastAsia" w:ascii="宋体" w:hAnsi="宋体"/>
                <w:b/>
                <w:sz w:val="21"/>
                <w:szCs w:val="21"/>
              </w:rPr>
              <w:t>一体化审核</w:t>
            </w:r>
          </w:p>
        </w:tc>
        <w:tc>
          <w:tcPr>
            <w:tcW w:w="3033" w:type="dxa"/>
            <w:gridSpan w:val="2"/>
            <w:vAlign w:val="center"/>
          </w:tcPr>
          <w:p>
            <w:pPr>
              <w:spacing w:line="360" w:lineRule="auto"/>
              <w:jc w:val="both"/>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4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58" w:type="dxa"/>
            <w:gridSpan w:val="5"/>
          </w:tcPr>
          <w:p>
            <w:pPr>
              <w:spacing w:line="360" w:lineRule="exact"/>
              <w:rPr>
                <w:rFonts w:hint="eastAsia"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val="0"/>
                <w:bCs/>
                <w:sz w:val="21"/>
                <w:szCs w:val="21"/>
              </w:rPr>
              <w:t>维生素预混合饲料（畜禽水产、反刍动物）、复合预混合饲料（畜禽水产、反刍动物）、配合饲料（畜禽、幼畜禽、种畜禽、水产）、浓缩饲料（畜禽、幼畜禽、种畜禽、水产）的生产</w:t>
            </w:r>
          </w:p>
          <w:p>
            <w:pPr>
              <w:spacing w:line="360" w:lineRule="exact"/>
              <w:rPr>
                <w:rFonts w:ascii="宋体" w:hAnsi="宋体"/>
                <w:b/>
                <w:sz w:val="21"/>
                <w:szCs w:val="21"/>
              </w:rPr>
            </w:pPr>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00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75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4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859" w:type="dxa"/>
          </w:tcPr>
          <w:p>
            <w:pPr>
              <w:spacing w:line="260" w:lineRule="exact"/>
              <w:rPr>
                <w:rFonts w:ascii="宋体" w:hAnsi="宋体"/>
                <w:b/>
                <w:sz w:val="21"/>
                <w:szCs w:val="21"/>
              </w:rPr>
            </w:pPr>
            <w:bookmarkStart w:id="27" w:name="专业代码"/>
            <w:r>
              <w:rPr>
                <w:rFonts w:ascii="宋体" w:hAnsi="宋体"/>
                <w:b/>
                <w:sz w:val="21"/>
                <w:szCs w:val="21"/>
              </w:rPr>
              <w:t>03.09.01;03.09.02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757"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2022.05.28</w:t>
            </w:r>
          </w:p>
        </w:tc>
        <w:tc>
          <w:tcPr>
            <w:tcW w:w="1533"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2020.8.16</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470" w:firstLineChars="223"/>
        <w:rPr>
          <w:rFonts w:ascii="宋体" w:hAnsi="宋体"/>
          <w:b/>
          <w:sz w:val="21"/>
          <w:szCs w:val="21"/>
        </w:rPr>
      </w:pPr>
    </w:p>
    <w:p>
      <w:pPr>
        <w:spacing w:line="360" w:lineRule="auto"/>
        <w:ind w:left="-211" w:leftChars="-88" w:firstLine="470" w:firstLineChars="223"/>
        <w:rPr>
          <w:rFonts w:ascii="宋体" w:hAnsi="宋体" w:eastAsia="宋体" w:cs="Times New Roman"/>
          <w:b/>
          <w:sz w:val="21"/>
          <w:szCs w:val="21"/>
        </w:rPr>
      </w:pPr>
    </w:p>
    <w:p>
      <w:pPr>
        <w:tabs>
          <w:tab w:val="left" w:pos="645"/>
        </w:tabs>
        <w:spacing w:after="163" w:afterLines="50" w:line="360" w:lineRule="exact"/>
        <w:rPr>
          <w:rFonts w:hint="eastAsia" w:ascii="Times New Roman" w:hAnsi="Times New Roman" w:eastAsia="宋体" w:cs="Times New Roman"/>
          <w:b/>
          <w:sz w:val="26"/>
          <w:szCs w:val="26"/>
        </w:rPr>
      </w:pPr>
      <w:r>
        <w:rPr>
          <w:rFonts w:hint="eastAsia" w:ascii="Times New Roman" w:hAnsi="Times New Roman" w:eastAsia="宋体" w:cs="Times New Roman"/>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20" w:type="dxa"/>
            <w:vMerge w:val="restart"/>
            <w:textDirection w:val="tbRlV"/>
            <w:vAlign w:val="center"/>
          </w:tcPr>
          <w:p>
            <w:pPr>
              <w:spacing w:line="360" w:lineRule="auto"/>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ind w:firstLine="420" w:firstLineChars="200"/>
              <w:rPr>
                <w:rFonts w:hint="eastAsia" w:ascii="Times New Roman" w:hAnsi="Times New Roman" w:eastAsia="宋体" w:cs="Times New Roman"/>
                <w:sz w:val="21"/>
                <w:szCs w:val="21"/>
                <w:highlight w:val="none"/>
                <w:lang w:val="en-US" w:eastAsia="zh-CN"/>
              </w:rPr>
            </w:pPr>
            <w:bookmarkStart w:id="28" w:name="组织名称"/>
            <w:r>
              <w:rPr>
                <w:rFonts w:hint="eastAsia" w:ascii="Times New Roman" w:hAnsi="Times New Roman" w:eastAsia="宋体" w:cs="Times New Roman"/>
                <w:sz w:val="21"/>
                <w:szCs w:val="21"/>
                <w:highlight w:val="none"/>
                <w:lang w:val="en-US" w:eastAsia="zh-CN"/>
              </w:rPr>
              <w:t>江西大佑农生物科技有限公司</w:t>
            </w:r>
            <w:bookmarkEnd w:id="28"/>
            <w:r>
              <w:rPr>
                <w:rFonts w:hint="eastAsia" w:ascii="Times New Roman" w:hAnsi="Times New Roman" w:eastAsia="宋体" w:cs="Times New Roman"/>
                <w:sz w:val="21"/>
                <w:szCs w:val="21"/>
                <w:highlight w:val="none"/>
                <w:lang w:val="en-US" w:eastAsia="zh-CN"/>
              </w:rPr>
              <w:t>成立于2013年6月27日，注册资本2300万元。</w:t>
            </w:r>
          </w:p>
          <w:p>
            <w:pPr>
              <w:spacing w:line="360" w:lineRule="auto"/>
              <w:ind w:firstLine="420" w:firstLineChars="20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注册地址：江西省南昌市南昌经济技术开发区沙港路118号；</w:t>
            </w:r>
          </w:p>
          <w:p>
            <w:pPr>
              <w:spacing w:line="360" w:lineRule="auto"/>
              <w:ind w:firstLine="420" w:firstLineChars="200"/>
              <w:rPr>
                <w:rFonts w:hint="eastAsia"/>
                <w:sz w:val="21"/>
                <w:szCs w:val="21"/>
                <w:lang w:val="en-US" w:eastAsia="zh-CN"/>
              </w:rPr>
            </w:pPr>
            <w:r>
              <w:rPr>
                <w:rFonts w:hint="eastAsia"/>
                <w:color w:val="auto"/>
                <w:sz w:val="21"/>
                <w:szCs w:val="21"/>
                <w:highlight w:val="none"/>
                <w:lang w:val="en-US" w:eastAsia="zh-CN"/>
              </w:rPr>
              <w:t>经营</w:t>
            </w:r>
            <w:r>
              <w:rPr>
                <w:rFonts w:hint="eastAsia"/>
                <w:color w:val="auto"/>
                <w:sz w:val="21"/>
                <w:szCs w:val="21"/>
                <w:highlight w:val="none"/>
                <w:lang w:val="zh-CN"/>
              </w:rPr>
              <w:t>地址：</w:t>
            </w:r>
            <w:r>
              <w:rPr>
                <w:rFonts w:hint="eastAsia" w:ascii="Times New Roman" w:hAnsi="Times New Roman" w:eastAsia="宋体" w:cs="Times New Roman"/>
                <w:color w:val="auto"/>
                <w:sz w:val="21"/>
                <w:szCs w:val="21"/>
                <w:highlight w:val="none"/>
                <w:lang w:val="en-US" w:eastAsia="zh-CN"/>
              </w:rPr>
              <w:t>江</w:t>
            </w:r>
            <w:r>
              <w:rPr>
                <w:rFonts w:hint="eastAsia" w:ascii="Times New Roman" w:hAnsi="Times New Roman" w:eastAsia="宋体" w:cs="Times New Roman"/>
                <w:sz w:val="21"/>
                <w:szCs w:val="21"/>
                <w:highlight w:val="none"/>
                <w:lang w:val="en-US" w:eastAsia="zh-CN"/>
              </w:rPr>
              <w:t>西省南昌市南昌经济技术开发区沙港路118号；</w:t>
            </w:r>
          </w:p>
          <w:p>
            <w:pPr>
              <w:spacing w:line="360" w:lineRule="auto"/>
              <w:ind w:firstLine="420" w:firstLineChars="20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保持营业执照和饲料生产许可证，经营范围：许可项目：兽药经营，饲料生产，发酵过程优化技术研发，生物饲料研发，中草药种植，地产中草药(不含中药饮片）购销，饲料添加剂销售，谷物销售，兽药经营，饲料生产（依法须经批准的项目，经相关部门批准后方可开展经营活动）。</w:t>
            </w:r>
          </w:p>
          <w:p>
            <w:pPr>
              <w:spacing w:line="360" w:lineRule="auto"/>
              <w:ind w:firstLine="420" w:firstLineChars="200"/>
              <w:rPr>
                <w:rFonts w:hint="eastAsia"/>
                <w:color w:val="auto"/>
                <w:sz w:val="21"/>
                <w:szCs w:val="21"/>
                <w:highlight w:val="none"/>
                <w:lang w:val="en-US" w:eastAsia="zh-CN"/>
              </w:rPr>
            </w:pPr>
            <w:r>
              <w:rPr>
                <w:rFonts w:hint="eastAsia"/>
                <w:sz w:val="21"/>
                <w:szCs w:val="21"/>
                <w:highlight w:val="none"/>
                <w:lang w:val="en-US" w:eastAsia="zh-CN"/>
              </w:rPr>
              <w:t>覆盖了认证范围：维生素预混合饲料（畜禽水产、反刍动物）、复合预混合饲料（畜禽水产、反刍动物）、配</w:t>
            </w:r>
            <w:r>
              <w:rPr>
                <w:rFonts w:hint="eastAsia"/>
                <w:color w:val="auto"/>
                <w:sz w:val="21"/>
                <w:szCs w:val="21"/>
                <w:highlight w:val="none"/>
                <w:lang w:val="en-US" w:eastAsia="zh-CN"/>
              </w:rPr>
              <w:t>合饲料（畜禽、幼畜禽、种畜禽、水产）、浓缩饲料（畜禽、幼畜禽、种畜禽、水产）的生产。</w:t>
            </w:r>
          </w:p>
          <w:p>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公司现有</w:t>
            </w:r>
            <w:bookmarkStart w:id="29" w:name="体系人数"/>
            <w:r>
              <w:rPr>
                <w:color w:val="auto"/>
                <w:sz w:val="21"/>
                <w:szCs w:val="21"/>
              </w:rPr>
              <w:t>45</w:t>
            </w:r>
            <w:bookmarkEnd w:id="29"/>
            <w:r>
              <w:rPr>
                <w:rFonts w:hint="eastAsia"/>
                <w:color w:val="auto"/>
                <w:sz w:val="21"/>
                <w:szCs w:val="21"/>
                <w:highlight w:val="none"/>
                <w:lang w:val="en-US" w:eastAsia="zh-CN"/>
              </w:rPr>
              <w:t>人，主要设备有</w:t>
            </w:r>
            <w:r>
              <w:rPr>
                <w:rFonts w:hint="default" w:ascii="宋体" w:hAnsi="宋体" w:eastAsia="宋体" w:cs="Arial"/>
                <w:color w:val="auto"/>
                <w:spacing w:val="-6"/>
                <w:sz w:val="21"/>
                <w:szCs w:val="21"/>
                <w:lang w:val="en-US" w:eastAsia="zh-CN"/>
              </w:rPr>
              <w:t>提升机</w:t>
            </w:r>
            <w:r>
              <w:rPr>
                <w:rFonts w:hint="eastAsia" w:ascii="宋体" w:hAnsi="宋体" w:eastAsia="宋体" w:cs="Arial"/>
                <w:color w:val="auto"/>
                <w:spacing w:val="-6"/>
                <w:sz w:val="21"/>
                <w:szCs w:val="21"/>
                <w:lang w:val="en-US" w:eastAsia="zh-CN"/>
              </w:rPr>
              <w:t>、</w:t>
            </w:r>
            <w:r>
              <w:rPr>
                <w:rFonts w:hint="default" w:ascii="宋体" w:hAnsi="宋体" w:eastAsia="宋体" w:cs="Arial"/>
                <w:color w:val="auto"/>
                <w:spacing w:val="-6"/>
                <w:sz w:val="21"/>
                <w:szCs w:val="21"/>
                <w:lang w:val="en-US" w:eastAsia="zh-CN"/>
              </w:rPr>
              <w:t>圆筒初清筛</w:t>
            </w:r>
            <w:r>
              <w:rPr>
                <w:rFonts w:hint="eastAsia" w:ascii="宋体" w:hAnsi="宋体" w:eastAsia="宋体" w:cs="Arial"/>
                <w:color w:val="auto"/>
                <w:spacing w:val="-6"/>
                <w:sz w:val="21"/>
                <w:szCs w:val="21"/>
                <w:lang w:val="en-US" w:eastAsia="zh-CN"/>
              </w:rPr>
              <w:t>、高料位器、低料位器、气动闸门、叶轮喂料器、锤片粉碎机、负载自动控制系统、破拱装置、配料螺旋输送机、气动震仓器、单轴桨叶混合机、制粒机喂料器、回转分级筛、油脂添加系统、自动码垛系统、微机配料控制系统、脉冲除尘器、关风器、风机等；</w:t>
            </w:r>
            <w:r>
              <w:rPr>
                <w:rFonts w:hint="eastAsia"/>
                <w:color w:val="auto"/>
                <w:sz w:val="21"/>
                <w:szCs w:val="21"/>
                <w:highlight w:val="none"/>
                <w:lang w:val="en-US" w:eastAsia="zh-CN"/>
              </w:rPr>
              <w:t>现有的设备基本能够满足业务服务要求。</w:t>
            </w:r>
          </w:p>
          <w:p>
            <w:pPr>
              <w:spacing w:line="360" w:lineRule="auto"/>
              <w:ind w:firstLine="420" w:firstLineChars="200"/>
              <w:rPr>
                <w:rFonts w:hint="eastAsia"/>
                <w:sz w:val="21"/>
                <w:szCs w:val="21"/>
                <w:highlight w:val="none"/>
              </w:rPr>
            </w:pPr>
            <w:r>
              <w:rPr>
                <w:rFonts w:hint="eastAsia"/>
                <w:sz w:val="21"/>
                <w:szCs w:val="21"/>
                <w:highlight w:val="none"/>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pPr>
              <w:spacing w:line="360" w:lineRule="auto"/>
              <w:ind w:firstLine="420" w:firstLineChars="200"/>
              <w:rPr>
                <w:rFonts w:hint="eastAsia"/>
                <w:sz w:val="21"/>
                <w:szCs w:val="21"/>
                <w:highlight w:val="none"/>
              </w:rPr>
            </w:pPr>
            <w:r>
              <w:rPr>
                <w:rFonts w:hint="eastAsia"/>
                <w:sz w:val="21"/>
                <w:szCs w:val="21"/>
                <w:highlight w:val="none"/>
              </w:rPr>
              <w:t>外部因素——</w:t>
            </w:r>
            <w:r>
              <w:rPr>
                <w:rFonts w:hint="eastAsia"/>
                <w:sz w:val="21"/>
                <w:szCs w:val="21"/>
                <w:highlight w:val="none"/>
                <w:lang w:val="en-US" w:eastAsia="zh-CN"/>
              </w:rPr>
              <w:t>国家政策</w:t>
            </w:r>
            <w:r>
              <w:rPr>
                <w:rFonts w:hint="eastAsia"/>
                <w:sz w:val="21"/>
                <w:szCs w:val="21"/>
                <w:highlight w:val="none"/>
              </w:rPr>
              <w:t>变动、竞争对手、客户需求的变化等；</w:t>
            </w:r>
          </w:p>
          <w:p>
            <w:pPr>
              <w:spacing w:line="360" w:lineRule="auto"/>
              <w:ind w:firstLine="420" w:firstLineChars="200"/>
              <w:rPr>
                <w:rFonts w:hint="eastAsia"/>
                <w:sz w:val="21"/>
                <w:szCs w:val="21"/>
                <w:highlight w:val="none"/>
              </w:rPr>
            </w:pPr>
            <w:r>
              <w:rPr>
                <w:rFonts w:hint="eastAsia"/>
                <w:sz w:val="21"/>
                <w:szCs w:val="21"/>
                <w:highlight w:val="none"/>
              </w:rPr>
              <w:t>内部因素</w:t>
            </w:r>
            <w:r>
              <w:rPr>
                <w:rFonts w:hint="eastAsia"/>
                <w:sz w:val="21"/>
                <w:szCs w:val="21"/>
                <w:highlight w:val="none"/>
                <w:lang w:eastAsia="zh-CN"/>
              </w:rPr>
              <w:t>——</w:t>
            </w:r>
            <w:r>
              <w:rPr>
                <w:rFonts w:hint="eastAsia"/>
                <w:sz w:val="21"/>
                <w:szCs w:val="21"/>
                <w:highlight w:val="none"/>
              </w:rPr>
              <w:t>公司文化、内部管理机制的建立、</w:t>
            </w:r>
            <w:r>
              <w:rPr>
                <w:rFonts w:hint="eastAsia"/>
                <w:sz w:val="21"/>
                <w:szCs w:val="21"/>
                <w:highlight w:val="none"/>
                <w:lang w:val="en-US" w:eastAsia="zh-CN"/>
              </w:rPr>
              <w:t>技术优势、</w:t>
            </w:r>
            <w:r>
              <w:rPr>
                <w:rFonts w:hint="eastAsia"/>
                <w:sz w:val="21"/>
                <w:szCs w:val="21"/>
                <w:highlight w:val="none"/>
              </w:rPr>
              <w:t>人员稳定性、经验等；</w:t>
            </w:r>
          </w:p>
          <w:p>
            <w:pPr>
              <w:spacing w:line="360" w:lineRule="auto"/>
              <w:ind w:firstLine="420" w:firstLineChars="200"/>
              <w:rPr>
                <w:rFonts w:hint="eastAsia"/>
                <w:sz w:val="21"/>
                <w:szCs w:val="21"/>
                <w:highlight w:val="none"/>
              </w:rPr>
            </w:pPr>
            <w:r>
              <w:rPr>
                <w:rFonts w:hint="eastAsia"/>
                <w:sz w:val="21"/>
                <w:szCs w:val="21"/>
                <w:highlight w:val="none"/>
              </w:rPr>
              <w:t>这些因素包括了需要考虑的正面和负面因素或条件。</w:t>
            </w:r>
          </w:p>
          <w:p>
            <w:pPr>
              <w:spacing w:line="360" w:lineRule="auto"/>
              <w:ind w:firstLine="420" w:firstLineChars="200"/>
              <w:rPr>
                <w:rFonts w:hint="eastAsia" w:ascii="宋体" w:hAnsi="宋体" w:eastAsia="宋体"/>
                <w:b/>
                <w:sz w:val="21"/>
                <w:szCs w:val="21"/>
                <w:lang w:val="en-US" w:eastAsia="zh-CN"/>
              </w:rPr>
            </w:pPr>
            <w:r>
              <w:rPr>
                <w:rFonts w:hint="eastAsia"/>
                <w:sz w:val="21"/>
                <w:szCs w:val="21"/>
                <w:highlight w:val="none"/>
              </w:rPr>
              <w:t>公司每年根据从市场、客户、网络等搜集到的信息并结合公司自身业务运作情况进行分析，通过分析对这些内部和外部因素的相关信息进行监视和评审以确保其充分和适宜。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20" w:type="dxa"/>
            <w:vMerge w:val="continue"/>
            <w:textDirection w:val="tbRlV"/>
            <w:vAlign w:val="center"/>
          </w:tcPr>
          <w:p>
            <w:pPr>
              <w:spacing w:line="360" w:lineRule="auto"/>
              <w:ind w:left="241" w:right="113" w:hanging="211" w:hangingChars="100"/>
              <w:jc w:val="center"/>
              <w:rPr>
                <w:rFonts w:ascii="宋体"/>
                <w:b/>
                <w:sz w:val="21"/>
                <w:szCs w:val="21"/>
              </w:rPr>
            </w:pPr>
          </w:p>
        </w:tc>
        <w:tc>
          <w:tcPr>
            <w:tcW w:w="9198" w:type="dxa"/>
          </w:tcPr>
          <w:p>
            <w:pPr>
              <w:spacing w:line="360" w:lineRule="auto"/>
              <w:rPr>
                <w:rFonts w:hint="eastAsia"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相关方包括</w:t>
            </w:r>
            <w:r>
              <w:rPr>
                <w:rFonts w:hint="eastAsia"/>
                <w:sz w:val="21"/>
                <w:szCs w:val="21"/>
                <w:highlight w:val="none"/>
                <w:lang w:val="en-US" w:eastAsia="zh-CN"/>
              </w:rPr>
              <w:t>主要包括顾客/最终消费者、员工、政府、外部供方、竞争对手、社会相邻单位</w:t>
            </w:r>
            <w:r>
              <w:rPr>
                <w:rFonts w:hint="default" w:ascii="Times New Roman" w:hAnsi="Times New Roman" w:cs="Times New Roman"/>
                <w:color w:val="000000"/>
                <w:sz w:val="21"/>
                <w:szCs w:val="21"/>
              </w:rPr>
              <w:t>等。相关方期望和要求为价格、安全性、合同协议、行业规范标准等。</w:t>
            </w:r>
          </w:p>
          <w:p>
            <w:pPr>
              <w:spacing w:line="360" w:lineRule="auto"/>
              <w:ind w:firstLine="420" w:firstLineChars="200"/>
              <w:rPr>
                <w:rFonts w:hint="eastAsia" w:ascii="宋体" w:hAnsi="宋体" w:eastAsia="宋体"/>
                <w:b/>
                <w:sz w:val="21"/>
                <w:szCs w:val="21"/>
                <w:lang w:val="en-US" w:eastAsia="zh-CN"/>
              </w:rPr>
            </w:pPr>
            <w:r>
              <w:rPr>
                <w:rFonts w:hint="default" w:ascii="Times New Roman" w:hAnsi="Times New Roman" w:cs="Times New Roman"/>
                <w:sz w:val="21"/>
                <w:szCs w:val="21"/>
              </w:rPr>
              <w:t>基本识别了与组织管理体系有关的相关方和要求</w:t>
            </w:r>
            <w:r>
              <w:rPr>
                <w:rFonts w:hint="default" w:ascii="Times New Roman" w:hAnsi="Times New Roman" w:cs="Times New Roman"/>
                <w:sz w:val="21"/>
                <w:szCs w:val="21"/>
                <w:lang w:val="zh-CN"/>
              </w:rPr>
              <w:t>。</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20" w:type="dxa"/>
            <w:vMerge w:val="continue"/>
            <w:textDirection w:val="tbRlV"/>
            <w:vAlign w:val="center"/>
          </w:tcPr>
          <w:p>
            <w:pPr>
              <w:spacing w:line="360" w:lineRule="auto"/>
              <w:ind w:left="241" w:right="113" w:hanging="211" w:hangingChars="100"/>
              <w:jc w:val="center"/>
              <w:rPr>
                <w:rFonts w:ascii="宋体"/>
                <w:b/>
                <w:sz w:val="21"/>
                <w:szCs w:val="21"/>
              </w:rPr>
            </w:pPr>
          </w:p>
        </w:tc>
        <w:tc>
          <w:tcPr>
            <w:tcW w:w="9198" w:type="dxa"/>
          </w:tcPr>
          <w:p>
            <w:pPr>
              <w:spacing w:line="360" w:lineRule="auto"/>
              <w:rPr>
                <w:rFonts w:hint="eastAsia" w:ascii="宋体" w:hAnsi="宋体"/>
                <w:b/>
                <w:sz w:val="21"/>
                <w:szCs w:val="21"/>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1.质量方针：</w:t>
            </w:r>
          </w:p>
          <w:p>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以人为本，科学管理，品质一流，用户满意</w:t>
            </w:r>
          </w:p>
          <w:p>
            <w:pPr>
              <w:spacing w:line="360" w:lineRule="auto"/>
              <w:ind w:firstLine="420" w:firstLineChars="200"/>
              <w:rPr>
                <w:rFonts w:hint="eastAsia" w:ascii="宋体" w:hAnsi="宋体" w:eastAsia="宋体"/>
                <w:b/>
                <w:sz w:val="21"/>
                <w:szCs w:val="21"/>
                <w:lang w:val="en-US" w:eastAsia="zh-CN"/>
              </w:rPr>
            </w:pPr>
            <w:r>
              <w:rPr>
                <w:rFonts w:hint="default" w:ascii="Times New Roman" w:hAnsi="Times New Roman" w:cs="Times New Roman"/>
                <w:sz w:val="21"/>
                <w:szCs w:val="21"/>
              </w:rPr>
              <w:t>方针适宜于公司现状，在管理手册中明确，通过文件发放，使员工获知，适用时提供给相关方。</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20" w:type="dxa"/>
            <w:vMerge w:val="continue"/>
            <w:textDirection w:val="tbRlV"/>
            <w:vAlign w:val="center"/>
          </w:tcPr>
          <w:p>
            <w:pPr>
              <w:spacing w:line="360" w:lineRule="auto"/>
              <w:ind w:left="241" w:right="113" w:hanging="211" w:hangingChars="100"/>
              <w:jc w:val="center"/>
              <w:rPr>
                <w:rFonts w:ascii="宋体"/>
                <w:b/>
                <w:sz w:val="21"/>
                <w:szCs w:val="21"/>
              </w:rPr>
            </w:pPr>
          </w:p>
        </w:tc>
        <w:tc>
          <w:tcPr>
            <w:tcW w:w="9198" w:type="dxa"/>
          </w:tcPr>
          <w:p>
            <w:pPr>
              <w:spacing w:line="360" w:lineRule="auto"/>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spacing w:line="360" w:lineRule="auto"/>
              <w:ind w:firstLine="420" w:firstLineChars="200"/>
              <w:rPr>
                <w:rFonts w:hint="eastAsia"/>
                <w:sz w:val="21"/>
                <w:szCs w:val="21"/>
                <w:lang w:val="en-US" w:eastAsia="zh-CN"/>
              </w:rPr>
            </w:pPr>
            <w:r>
              <w:rPr>
                <w:rFonts w:hint="eastAsia"/>
                <w:sz w:val="21"/>
                <w:szCs w:val="21"/>
                <w:lang w:val="en-US" w:eastAsia="zh-CN"/>
              </w:rPr>
              <w:t>基于对4.1和4.2的考虑，分析了公司存在的风险和机遇：</w:t>
            </w:r>
          </w:p>
          <w:p>
            <w:pPr>
              <w:spacing w:line="360" w:lineRule="auto"/>
              <w:ind w:firstLine="420" w:firstLineChars="200"/>
              <w:rPr>
                <w:rFonts w:hint="default"/>
                <w:sz w:val="21"/>
                <w:szCs w:val="21"/>
                <w:lang w:val="en-US" w:eastAsia="zh-CN"/>
              </w:rPr>
            </w:pPr>
            <w:r>
              <w:rPr>
                <w:rFonts w:hint="eastAsia"/>
                <w:sz w:val="21"/>
                <w:szCs w:val="21"/>
                <w:lang w:val="en-US" w:eastAsia="zh-CN"/>
              </w:rPr>
              <w:t>机遇：政策影响和经济发展的走势，</w:t>
            </w:r>
            <w:r>
              <w:rPr>
                <w:rFonts w:hint="default"/>
                <w:sz w:val="21"/>
                <w:szCs w:val="21"/>
                <w:lang w:val="en-US" w:eastAsia="zh-CN"/>
              </w:rPr>
              <w:t>对企业有较好的</w:t>
            </w:r>
            <w:r>
              <w:rPr>
                <w:rFonts w:hint="eastAsia"/>
                <w:sz w:val="21"/>
                <w:szCs w:val="21"/>
                <w:lang w:val="en-US" w:eastAsia="zh-CN"/>
              </w:rPr>
              <w:t>的发展机遇</w:t>
            </w:r>
            <w:r>
              <w:rPr>
                <w:rFonts w:hint="default"/>
                <w:sz w:val="21"/>
                <w:szCs w:val="21"/>
                <w:lang w:val="en-US" w:eastAsia="zh-CN"/>
              </w:rPr>
              <w:t>。</w:t>
            </w:r>
          </w:p>
          <w:p>
            <w:pPr>
              <w:spacing w:line="360" w:lineRule="auto"/>
              <w:ind w:firstLine="420" w:firstLineChars="200"/>
              <w:rPr>
                <w:rFonts w:hint="default"/>
                <w:sz w:val="21"/>
                <w:szCs w:val="21"/>
                <w:lang w:val="en-US" w:eastAsia="zh-CN"/>
              </w:rPr>
            </w:pPr>
            <w:r>
              <w:rPr>
                <w:rFonts w:hint="eastAsia"/>
                <w:sz w:val="21"/>
                <w:szCs w:val="21"/>
                <w:lang w:val="en-US" w:eastAsia="zh-CN"/>
              </w:rPr>
              <w:t>风险：产业政策的变化可能给公司带来发展的风险</w:t>
            </w:r>
            <w:r>
              <w:rPr>
                <w:rFonts w:hint="default"/>
                <w:sz w:val="21"/>
                <w:szCs w:val="21"/>
                <w:lang w:val="en-US" w:eastAsia="zh-CN"/>
              </w:rPr>
              <w:t>。</w:t>
            </w:r>
          </w:p>
          <w:p>
            <w:pPr>
              <w:spacing w:line="360" w:lineRule="auto"/>
              <w:ind w:firstLine="420" w:firstLineChars="200"/>
              <w:rPr>
                <w:rFonts w:hint="eastAsia"/>
                <w:sz w:val="21"/>
                <w:szCs w:val="21"/>
                <w:lang w:val="en-US" w:eastAsia="zh-CN"/>
              </w:rPr>
            </w:pPr>
            <w:r>
              <w:rPr>
                <w:rFonts w:hint="default"/>
                <w:sz w:val="21"/>
                <w:szCs w:val="21"/>
                <w:lang w:val="en-US" w:eastAsia="zh-CN"/>
              </w:rPr>
              <w:t>编制有《风险和机遇的应对控制程序》，对组织内外的风险和机遇进行了策划。</w:t>
            </w:r>
            <w:r>
              <w:rPr>
                <w:rFonts w:hint="eastAsia"/>
                <w:sz w:val="21"/>
                <w:szCs w:val="21"/>
                <w:lang w:val="en-US" w:eastAsia="zh-CN"/>
              </w:rPr>
              <w:t>介绍说，公司</w:t>
            </w:r>
            <w:r>
              <w:rPr>
                <w:rFonts w:hint="default"/>
                <w:sz w:val="21"/>
                <w:szCs w:val="21"/>
                <w:lang w:val="en-US" w:eastAsia="zh-CN"/>
              </w:rPr>
              <w:t>识别了风险和机遇来源、风险和机遇内容、管理措施、责任部门、实时时间、评价措施等</w:t>
            </w:r>
            <w:r>
              <w:rPr>
                <w:rFonts w:hint="eastAsia"/>
                <w:sz w:val="21"/>
                <w:szCs w:val="21"/>
                <w:lang w:val="en-US" w:eastAsia="zh-CN"/>
              </w:rPr>
              <w:t>；</w:t>
            </w:r>
          </w:p>
          <w:p>
            <w:pPr>
              <w:spacing w:line="360" w:lineRule="auto"/>
              <w:ind w:firstLine="420" w:firstLineChars="200"/>
              <w:rPr>
                <w:rFonts w:hint="eastAsia"/>
                <w:sz w:val="21"/>
                <w:szCs w:val="21"/>
                <w:lang w:val="en-US" w:eastAsia="zh-CN"/>
              </w:rPr>
            </w:pPr>
            <w:r>
              <w:rPr>
                <w:rFonts w:hint="eastAsia"/>
                <w:sz w:val="21"/>
                <w:szCs w:val="21"/>
                <w:lang w:val="en-US" w:eastAsia="zh-CN"/>
              </w:rPr>
              <w:t>为应对相应风险和机遇，公司依据GB/T19001-2016标准的要求并结合本公司的具体情况，采取PDCA的过程方法，建立、实施、保持并持续改进质量管理体系。</w:t>
            </w:r>
          </w:p>
          <w:p>
            <w:pPr>
              <w:spacing w:line="360" w:lineRule="auto"/>
              <w:ind w:firstLine="420" w:firstLineChars="200"/>
              <w:rPr>
                <w:rFonts w:hint="eastAsia" w:ascii="宋体" w:hAnsi="宋体" w:eastAsia="宋体"/>
                <w:b/>
                <w:sz w:val="21"/>
                <w:szCs w:val="21"/>
                <w:lang w:val="en-US" w:eastAsia="zh-CN"/>
              </w:rPr>
            </w:pPr>
            <w:r>
              <w:rPr>
                <w:rFonts w:hint="eastAsia" w:ascii="Times New Roman" w:hAnsi="Times New Roman" w:eastAsia="宋体" w:cs="Times New Roman"/>
                <w:sz w:val="21"/>
                <w:szCs w:val="21"/>
                <w:lang w:val="en-US" w:eastAsia="zh-CN"/>
              </w:rPr>
              <w:t>质量管理体系于2020年 08月 16日建立并正式实施。</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/□50430</w:t>
            </w:r>
            <w:r>
              <w:rPr>
                <w:rFonts w:hint="eastAsia" w:ascii="宋体" w:hAnsi="宋体"/>
                <w:b/>
                <w:sz w:val="21"/>
                <w:szCs w:val="21"/>
              </w:rPr>
              <w:t>过程</w:t>
            </w:r>
          </w:p>
          <w:p>
            <w:pPr>
              <w:tabs>
                <w:tab w:val="left" w:pos="540"/>
              </w:tabs>
              <w:spacing w:line="360" w:lineRule="auto"/>
              <w:ind w:left="211" w:hanging="211" w:hangingChars="100"/>
              <w:rPr>
                <w:rFonts w:ascii="宋体" w:hAnsi="宋体"/>
                <w:b/>
                <w:sz w:val="21"/>
                <w:szCs w:val="21"/>
              </w:rPr>
            </w:pPr>
            <w:r>
              <w:rPr>
                <w:rFonts w:hint="eastAsia" w:ascii="宋体" w:hAnsi="宋体"/>
                <w:b/>
                <w:sz w:val="21"/>
                <w:szCs w:val="21"/>
              </w:rPr>
              <w:t>质量管理体系过程有：配料称量→投料→一次混合→二次混合→打包→成品验收入库</w:t>
            </w:r>
          </w:p>
          <w:p>
            <w:pPr>
              <w:tabs>
                <w:tab w:val="left" w:pos="540"/>
              </w:tabs>
              <w:spacing w:line="360" w:lineRule="auto"/>
              <w:ind w:left="211" w:hanging="211" w:hangingChars="100"/>
              <w:rPr>
                <w:rFonts w:ascii="宋体" w:hAnsi="宋体"/>
                <w:b/>
                <w:sz w:val="21"/>
                <w:szCs w:val="21"/>
              </w:rPr>
            </w:pPr>
            <w:r>
              <w:rPr>
                <w:rFonts w:hint="eastAsia" w:ascii="宋体" w:hAnsi="宋体"/>
                <w:b/>
                <w:sz w:val="21"/>
                <w:szCs w:val="21"/>
              </w:rPr>
              <w:t>其中关键过程有</w:t>
            </w:r>
            <w:r>
              <w:rPr>
                <w:rFonts w:hint="eastAsia" w:ascii="宋体" w:hAnsi="宋体"/>
                <w:sz w:val="21"/>
                <w:szCs w:val="21"/>
              </w:rPr>
              <w:t>混合工序</w:t>
            </w:r>
          </w:p>
          <w:p>
            <w:pPr>
              <w:tabs>
                <w:tab w:val="left" w:pos="540"/>
              </w:tabs>
              <w:spacing w:line="360" w:lineRule="auto"/>
              <w:ind w:left="211" w:hanging="211" w:hangingChars="100"/>
              <w:rPr>
                <w:rFonts w:ascii="宋体" w:hAnsi="宋体"/>
                <w:b/>
                <w:sz w:val="21"/>
                <w:szCs w:val="21"/>
              </w:rPr>
            </w:pPr>
            <w:r>
              <w:rPr>
                <w:rFonts w:hint="eastAsia" w:ascii="宋体" w:hAnsi="宋体"/>
                <w:b/>
                <w:sz w:val="21"/>
                <w:szCs w:val="21"/>
              </w:rPr>
              <w:t>需要确认过程</w:t>
            </w:r>
            <w:r>
              <w:rPr>
                <w:rFonts w:hint="eastAsia" w:ascii="宋体" w:hAnsi="宋体"/>
                <w:sz w:val="21"/>
                <w:szCs w:val="21"/>
              </w:rPr>
              <w:t>混合工序</w:t>
            </w:r>
          </w:p>
          <w:p>
            <w:pPr>
              <w:tabs>
                <w:tab w:val="left" w:pos="540"/>
              </w:tabs>
              <w:spacing w:line="360" w:lineRule="auto"/>
              <w:ind w:left="211" w:hanging="211" w:hangingChars="100"/>
              <w:rPr>
                <w:rFonts w:ascii="宋体" w:hAnsi="宋体"/>
                <w:b/>
                <w:sz w:val="21"/>
                <w:szCs w:val="21"/>
              </w:rPr>
            </w:pP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w:t>
            </w:r>
            <w:r>
              <w:rPr>
                <w:rFonts w:hint="eastAsia" w:ascii="宋体" w:hAnsi="宋体"/>
                <w:b/>
                <w:sz w:val="21"/>
                <w:szCs w:val="21"/>
              </w:rPr>
              <w:t>，删减理由：</w:t>
            </w:r>
          </w:p>
          <w:p>
            <w:pPr>
              <w:tabs>
                <w:tab w:val="left" w:pos="540"/>
              </w:tabs>
              <w:spacing w:line="360" w:lineRule="auto"/>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1"/>
              </w:numPr>
              <w:tabs>
                <w:tab w:val="left" w:pos="540"/>
              </w:tabs>
              <w:spacing w:line="360" w:lineRule="auto"/>
              <w:ind w:left="-12" w:leftChars="-43" w:hanging="91" w:hangingChars="43"/>
              <w:rPr>
                <w:rFonts w:ascii="宋体" w:hAnsi="宋体"/>
                <w:b/>
                <w:sz w:val="21"/>
                <w:szCs w:val="21"/>
              </w:rPr>
            </w:pPr>
            <w:r>
              <w:rPr>
                <w:rFonts w:hint="eastAsia" w:ascii="宋体" w:hAnsi="宋体"/>
                <w:b/>
                <w:sz w:val="21"/>
                <w:szCs w:val="21"/>
              </w:rPr>
              <w:t>获取法律法规项，</w:t>
            </w:r>
            <w:r>
              <w:rPr>
                <w:rFonts w:hint="eastAsia" w:ascii="宋体" w:hAnsi="宋体"/>
                <w:b/>
                <w:sz w:val="21"/>
                <w:szCs w:val="21"/>
              </w:rPr>
              <w:sym w:font="Wingdings 2" w:char="0052"/>
            </w:r>
            <w:r>
              <w:rPr>
                <w:rFonts w:hint="eastAsia" w:ascii="宋体" w:hAnsi="宋体"/>
                <w:b/>
                <w:sz w:val="21"/>
                <w:szCs w:val="21"/>
              </w:rPr>
              <w:t>法律法规获取充分</w:t>
            </w:r>
          </w:p>
          <w:p>
            <w:pPr>
              <w:pStyle w:val="14"/>
              <w:numPr>
                <w:ilvl w:val="0"/>
                <w:numId w:val="1"/>
              </w:numPr>
              <w:tabs>
                <w:tab w:val="left" w:pos="540"/>
              </w:tabs>
              <w:spacing w:line="360" w:lineRule="auto"/>
              <w:ind w:firstLineChars="0"/>
              <w:rPr>
                <w:rFonts w:ascii="宋体" w:hAnsi="宋体"/>
                <w:b/>
                <w:sz w:val="21"/>
                <w:szCs w:val="21"/>
              </w:rPr>
            </w:pPr>
            <w:r>
              <w:rPr>
                <w:rFonts w:hint="eastAsia" w:ascii="宋体" w:hAnsi="宋体"/>
                <w:b/>
                <w:sz w:val="21"/>
                <w:szCs w:val="21"/>
              </w:rPr>
              <w:t>结合公司的</w:t>
            </w:r>
            <w:r>
              <w:rPr>
                <w:rFonts w:hint="eastAsia" w:ascii="宋体" w:hAnsi="宋体"/>
                <w:b/>
                <w:sz w:val="21"/>
                <w:szCs w:val="21"/>
              </w:rPr>
              <w:sym w:font="Wingdings 2" w:char="0052"/>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服务□环境因素□危险源，</w:t>
            </w:r>
            <w:r>
              <w:rPr>
                <w:rFonts w:hint="eastAsia" w:ascii="宋体" w:hAnsi="宋体"/>
                <w:b/>
                <w:sz w:val="21"/>
                <w:szCs w:val="21"/>
              </w:rPr>
              <w:sym w:font="Wingdings 2" w:char="0052"/>
            </w:r>
            <w:r>
              <w:rPr>
                <w:rFonts w:hint="eastAsia" w:ascii="宋体" w:hAnsi="宋体"/>
                <w:b/>
                <w:sz w:val="21"/>
                <w:szCs w:val="21"/>
              </w:rPr>
              <w:t>确定□未确定法律法规要求的具体条款，</w:t>
            </w:r>
          </w:p>
          <w:p>
            <w:pPr>
              <w:pStyle w:val="14"/>
              <w:numPr>
                <w:ilvl w:val="0"/>
                <w:numId w:val="1"/>
              </w:numPr>
              <w:tabs>
                <w:tab w:val="left" w:pos="540"/>
              </w:tabs>
              <w:spacing w:line="360" w:lineRule="auto"/>
              <w:ind w:firstLineChars="0"/>
              <w:rPr>
                <w:rFonts w:ascii="宋体" w:hAnsi="宋体"/>
                <w:b/>
                <w:sz w:val="21"/>
                <w:szCs w:val="21"/>
              </w:rPr>
            </w:pPr>
            <w:r>
              <w:rPr>
                <w:rFonts w:hint="eastAsia" w:ascii="宋体" w:hAnsi="宋体"/>
                <w:b/>
                <w:sz w:val="21"/>
                <w:szCs w:val="21"/>
              </w:rPr>
              <w:t>法律法规的宣传方式：</w:t>
            </w:r>
          </w:p>
          <w:p>
            <w:pPr>
              <w:pStyle w:val="14"/>
              <w:numPr>
                <w:ilvl w:val="0"/>
                <w:numId w:val="1"/>
              </w:numPr>
              <w:tabs>
                <w:tab w:val="left" w:pos="540"/>
              </w:tabs>
              <w:spacing w:line="360" w:lineRule="auto"/>
              <w:ind w:firstLineChars="0"/>
              <w:rPr>
                <w:rFonts w:ascii="宋体" w:hAnsi="宋体"/>
                <w:b/>
                <w:sz w:val="21"/>
                <w:szCs w:val="21"/>
              </w:rPr>
            </w:pPr>
            <w:r>
              <w:rPr>
                <w:rFonts w:hint="eastAsia" w:ascii="宋体" w:hAnsi="宋体"/>
                <w:b/>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ind w:firstLine="396" w:firstLineChars="200"/>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质量目标：</w:t>
            </w:r>
          </w:p>
          <w:p>
            <w:pPr>
              <w:spacing w:line="360" w:lineRule="auto"/>
              <w:ind w:firstLine="396" w:firstLineChars="200"/>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产品出厂合格率100%；</w:t>
            </w:r>
          </w:p>
          <w:p>
            <w:pPr>
              <w:spacing w:line="360" w:lineRule="auto"/>
              <w:ind w:firstLine="396" w:firstLineChars="200"/>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顾客满意度90分以上。</w:t>
            </w:r>
          </w:p>
          <w:p>
            <w:pPr>
              <w:spacing w:line="360" w:lineRule="auto"/>
              <w:ind w:firstLine="396" w:firstLineChars="200"/>
              <w:rPr>
                <w:rFonts w:hint="eastAsia" w:ascii="Times New Roman" w:hAnsi="Times New Roman" w:eastAsia="宋体" w:cs="Times New Roman"/>
                <w:sz w:val="21"/>
                <w:szCs w:val="21"/>
                <w:lang w:val="en-US" w:eastAsia="zh-CN"/>
              </w:rPr>
            </w:pPr>
            <w:r>
              <w:rPr>
                <w:rFonts w:hint="eastAsia" w:ascii="宋体" w:hAnsi="宋体" w:eastAsia="宋体" w:cs="Arial"/>
                <w:spacing w:val="-6"/>
                <w:sz w:val="21"/>
                <w:szCs w:val="21"/>
                <w:lang w:val="en-US" w:eastAsia="zh-CN"/>
              </w:rPr>
              <w:t>制定“公司目标实施措施表”，对目标实现进行了策划；并将目标分解到各部门；</w:t>
            </w:r>
          </w:p>
          <w:p>
            <w:pPr>
              <w:spacing w:line="360" w:lineRule="auto"/>
              <w:ind w:firstLine="396" w:firstLineChars="200"/>
              <w:rPr>
                <w:rFonts w:ascii="宋体" w:hAnsi="宋体"/>
                <w:b/>
                <w:sz w:val="21"/>
                <w:szCs w:val="21"/>
              </w:rPr>
            </w:pPr>
            <w:r>
              <w:rPr>
                <w:rFonts w:hint="eastAsia" w:ascii="宋体" w:hAnsi="宋体" w:eastAsia="宋体" w:cs="Arial"/>
                <w:spacing w:val="-6"/>
                <w:sz w:val="21"/>
                <w:szCs w:val="21"/>
                <w:lang w:val="en-US" w:eastAsia="zh-CN"/>
              </w:rPr>
              <w:t>查见“目标考核表”，见按季度进行了考核，2021年1、2季度目标均已完成。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0" w:type="dxa"/>
            <w:vMerge w:val="restart"/>
            <w:textDirection w:val="tbRlV"/>
            <w:vAlign w:val="center"/>
          </w:tcPr>
          <w:p>
            <w:pPr>
              <w:spacing w:line="360" w:lineRule="auto"/>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ind w:firstLine="396" w:firstLineChars="200"/>
              <w:rPr>
                <w:rFonts w:hint="default" w:ascii="宋体" w:hAnsi="宋体"/>
                <w:b/>
                <w:sz w:val="21"/>
                <w:szCs w:val="21"/>
                <w:lang w:val="en-US"/>
              </w:rPr>
            </w:pPr>
            <w:r>
              <w:rPr>
                <w:rFonts w:hint="eastAsia" w:ascii="宋体" w:hAnsi="宋体" w:eastAsia="宋体" w:cs="Arial"/>
                <w:spacing w:val="-6"/>
                <w:sz w:val="21"/>
                <w:szCs w:val="21"/>
                <w:lang w:val="en-US" w:eastAsia="zh-CN"/>
              </w:rPr>
              <w:t>公司员工现有40余人；对各岗位职责和岗位任职要求进行了规定；特种作业人员持证上岗。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20" w:type="dxa"/>
            <w:vMerge w:val="continue"/>
            <w:textDirection w:val="tbRlV"/>
            <w:vAlign w:val="center"/>
          </w:tcPr>
          <w:p>
            <w:pPr>
              <w:spacing w:line="360" w:lineRule="auto"/>
              <w:ind w:left="113" w:right="113"/>
              <w:jc w:val="center"/>
              <w:rPr>
                <w:b/>
                <w:sz w:val="21"/>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ind w:firstLine="396" w:firstLineChars="200"/>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主要包括：</w:t>
            </w:r>
          </w:p>
          <w:p>
            <w:pPr>
              <w:spacing w:line="360" w:lineRule="auto"/>
              <w:ind w:firstLine="396" w:firstLineChars="200"/>
              <w:rPr>
                <w:rFonts w:ascii="宋体" w:hAnsi="宋体"/>
                <w:b/>
                <w:sz w:val="21"/>
                <w:szCs w:val="21"/>
              </w:rPr>
            </w:pPr>
            <w:r>
              <w:rPr>
                <w:rFonts w:hint="default" w:ascii="宋体" w:hAnsi="宋体" w:eastAsia="宋体" w:cs="Arial"/>
                <w:spacing w:val="-6"/>
                <w:sz w:val="21"/>
                <w:szCs w:val="21"/>
                <w:lang w:val="en-US" w:eastAsia="zh-CN"/>
              </w:rPr>
              <w:t>提升机</w:t>
            </w:r>
            <w:r>
              <w:rPr>
                <w:rFonts w:hint="eastAsia" w:ascii="宋体" w:hAnsi="宋体" w:eastAsia="宋体" w:cs="Arial"/>
                <w:spacing w:val="-6"/>
                <w:sz w:val="21"/>
                <w:szCs w:val="21"/>
                <w:lang w:val="en-US" w:eastAsia="zh-CN"/>
              </w:rPr>
              <w:t>、</w:t>
            </w:r>
            <w:r>
              <w:rPr>
                <w:rFonts w:hint="default" w:ascii="宋体" w:hAnsi="宋体" w:eastAsia="宋体" w:cs="Arial"/>
                <w:spacing w:val="-6"/>
                <w:sz w:val="21"/>
                <w:szCs w:val="21"/>
                <w:lang w:val="en-US" w:eastAsia="zh-CN"/>
              </w:rPr>
              <w:t>圆筒初清筛</w:t>
            </w:r>
            <w:r>
              <w:rPr>
                <w:rFonts w:hint="eastAsia" w:ascii="宋体" w:hAnsi="宋体" w:eastAsia="宋体" w:cs="Arial"/>
                <w:spacing w:val="-6"/>
                <w:sz w:val="21"/>
                <w:szCs w:val="21"/>
                <w:lang w:val="en-US" w:eastAsia="zh-CN"/>
              </w:rPr>
              <w:t>、高料位器、低料位器、气动闸门、叶轮喂料器、锤片粉碎机、负载自动控制系统、破拱装置、配料螺旋输送机、气动震仓器、单轴桨叶混合机、制粒机喂料器、回转分级筛、油脂添加系统、自动码垛系统、微机配料控制系统、脉冲除尘器、关风器、风机等；定期保养，日清检查，设备运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20" w:type="dxa"/>
            <w:vMerge w:val="continue"/>
            <w:textDirection w:val="tbRlV"/>
            <w:vAlign w:val="center"/>
          </w:tcPr>
          <w:p>
            <w:pPr>
              <w:spacing w:line="360" w:lineRule="auto"/>
              <w:ind w:left="113" w:right="113"/>
              <w:jc w:val="center"/>
              <w:rPr>
                <w:b/>
                <w:sz w:val="21"/>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进入车间人员首先通过消杀间灭菌消杀，换穿工作服后进入。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车间钢架结构、挑高10米，自然通风和采光；原料和成品分区、分类码放整齐，标识清晰；利用叉车和手推车转运；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作业区共7层，2至6层为料仓，利用提升机和传送带将在一楼配置好的原辅料送至各料仓投料口投放，在3楼中控室进行设备运转控制，并记录运转状况；配置除尘装置和风机除尘；温度和湿度能够保持在可接受范围内；空气中少量粉尘和异味；作业人员穿工作服、戴安全帽和口罩；有岗位操作规程和警示标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sz w:val="21"/>
                <w:szCs w:val="21"/>
              </w:rPr>
            </w:pPr>
            <w:r>
              <w:rPr>
                <w:rFonts w:hint="eastAsia" w:ascii="Times New Roman" w:hAnsi="Times New Roman" w:eastAsia="宋体" w:cs="Times New Roman"/>
                <w:sz w:val="21"/>
                <w:szCs w:val="21"/>
                <w:lang w:val="en-US" w:eastAsia="zh-CN"/>
              </w:rPr>
              <w:t>配置的设备上有少许集尘，运转正常，现场主要监测设备是称量用的电子台秤，贴有标签，数显正确；通道宽度满足通行要求，原料进场大门和成品出厂大门分设在车间两端；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20" w:type="dxa"/>
            <w:vMerge w:val="continue"/>
            <w:textDirection w:val="tbRlV"/>
            <w:vAlign w:val="center"/>
          </w:tcPr>
          <w:p>
            <w:pPr>
              <w:spacing w:line="360" w:lineRule="auto"/>
              <w:ind w:left="113" w:right="113"/>
              <w:jc w:val="center"/>
              <w:rPr>
                <w:b/>
                <w:sz w:val="21"/>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策划有监视和测量控制程序，有效文件，无变化；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查见监测装置的校准证书：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电子台秤——TS18113524，结论P、按校准结果使用，2021.4.13，符合要求；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电子计重台秤——D91101111，结论P、按校准结果使用，2021.4.13，符合要求；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分析天平——80276，结论P、按校准结果使用，2021.4.13，符合要求；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紫外可见分光光度计——AE10303038，结论P、按校准结果使用，2021.4.13，符合要求；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深圳市华鑫计量仪器有限公司出具，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电子汽车衡——检定结论合格，2022.4.1，南昌市计量检定站出具；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压力表——18033552，0-1.6MPa，合格；2021.12.2；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安全阀——AF202150175，校验结果符合要求，2022.6.2；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sz w:val="21"/>
                <w:szCs w:val="21"/>
                <w:lang w:val="en-US" w:eastAsia="zh-CN"/>
              </w:rPr>
            </w:pPr>
            <w:r>
              <w:rPr>
                <w:rFonts w:hint="eastAsia"/>
                <w:sz w:val="21"/>
                <w:szCs w:val="21"/>
                <w:lang w:val="en-US" w:eastAsia="zh-CN"/>
              </w:rPr>
              <w:t>江西省锅炉压力容器检验检测研究院出具。</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20" w:type="dxa"/>
            <w:vMerge w:val="continue"/>
            <w:textDirection w:val="tbRlV"/>
            <w:vAlign w:val="center"/>
          </w:tcPr>
          <w:p>
            <w:pPr>
              <w:spacing w:line="360" w:lineRule="auto"/>
              <w:ind w:left="113" w:right="113"/>
              <w:jc w:val="center"/>
              <w:rPr>
                <w:b/>
                <w:sz w:val="21"/>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从内部来源获取的有：多年的工作经验、教训、内部的知识产权等；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外部来源获取有：标杆对比、行业会议、客户技术要求、咨询老师传授的体系知识及所实施的内审员的培训；顾客方提供的资料等。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保持有专利证书21个，商标注册证1个——大佑农；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sz w:val="21"/>
                <w:szCs w:val="21"/>
              </w:rPr>
            </w:pPr>
            <w:r>
              <w:rPr>
                <w:rFonts w:hint="eastAsia" w:ascii="Times New Roman" w:hAnsi="Times New Roman" w:eastAsia="宋体" w:cs="Times New Roman"/>
                <w:sz w:val="21"/>
                <w:szCs w:val="21"/>
                <w:lang w:val="en-US" w:eastAsia="zh-CN"/>
              </w:rPr>
              <w:t>在应对变化的需求和趋势时，相关部门考虑现有的知识，确定如何获取更多的必要的额外知识，并根据变化的情况及时更新。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0" w:type="dxa"/>
            <w:vMerge w:val="continue"/>
            <w:textDirection w:val="tbRlV"/>
            <w:vAlign w:val="center"/>
          </w:tcPr>
          <w:p>
            <w:pPr>
              <w:spacing w:line="360" w:lineRule="auto"/>
              <w:ind w:left="113" w:right="113"/>
              <w:jc w:val="center"/>
              <w:rPr>
                <w:b/>
                <w:sz w:val="21"/>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textDirection w:val="tbRlV"/>
            <w:vAlign w:val="center"/>
          </w:tcPr>
          <w:p>
            <w:pPr>
              <w:spacing w:line="360" w:lineRule="auto"/>
              <w:ind w:left="113" w:right="113"/>
              <w:jc w:val="center"/>
              <w:rPr>
                <w:b/>
                <w:sz w:val="21"/>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职业健康安全设施：</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20" w:type="dxa"/>
            <w:vMerge w:val="restart"/>
            <w:textDirection w:val="tbRlV"/>
            <w:vAlign w:val="center"/>
          </w:tcPr>
          <w:p>
            <w:pPr>
              <w:spacing w:line="360" w:lineRule="auto"/>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firstLine="420" w:firstLineChars="200"/>
              <w:rPr>
                <w:rFonts w:hint="eastAsia" w:ascii="宋体" w:hAnsi="宋体" w:eastAsia="宋体"/>
                <w:b/>
                <w:sz w:val="21"/>
                <w:szCs w:val="21"/>
                <w:lang w:val="en-US" w:eastAsia="zh-CN"/>
              </w:rPr>
            </w:pPr>
            <w:r>
              <w:rPr>
                <w:rFonts w:hint="eastAsia" w:ascii="Times New Roman" w:hAnsi="Times New Roman" w:eastAsia="宋体" w:cs="Times New Roman"/>
                <w:kern w:val="2"/>
                <w:sz w:val="21"/>
                <w:szCs w:val="21"/>
                <w:highlight w:val="none"/>
                <w:lang w:val="en-US" w:eastAsia="zh-CN" w:bidi="ar-SA"/>
              </w:rPr>
              <w:t xml:space="preserve">方针符合组织的宗旨，形成文件传达到全体员工，确保得到有效控制，使全体员工正确理解并坚决执行，且应定期对其适宜性进行评审。 </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ascii="宋体" w:hAnsi="宋体"/>
                <w:b/>
                <w:sz w:val="21"/>
                <w:szCs w:val="21"/>
              </w:rPr>
            </w:pP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内部沟通的情况：内部沟通方式：借助于会议、电话、口头交流等方式使全体员工达到沟通和理解</w:t>
            </w:r>
          </w:p>
          <w:p>
            <w:pPr>
              <w:spacing w:line="360" w:lineRule="auto"/>
              <w:rPr>
                <w:rFonts w:hint="eastAsia" w:ascii="楷体_GB2312" w:eastAsia="楷体_GB2312"/>
                <w:b/>
                <w:color w:val="000000" w:themeColor="text1"/>
                <w:sz w:val="21"/>
                <w:szCs w:val="21"/>
                <w:lang w:val="en-US" w:eastAsia="zh-CN"/>
              </w:rPr>
            </w:pPr>
            <w:r>
              <w:rPr>
                <w:rFonts w:hint="eastAsia" w:ascii="楷体_GB2312" w:eastAsia="楷体_GB2312"/>
                <w:b/>
                <w:color w:val="000000" w:themeColor="text1"/>
                <w:sz w:val="21"/>
                <w:szCs w:val="21"/>
              </w:rPr>
              <w:t xml:space="preserve">                内部沟通的效果：</w:t>
            </w:r>
            <w:r>
              <w:rPr>
                <w:rFonts w:hint="eastAsia" w:ascii="楷体_GB2312" w:eastAsia="楷体_GB2312"/>
                <w:b/>
                <w:color w:val="000000" w:themeColor="text1"/>
                <w:sz w:val="21"/>
                <w:szCs w:val="21"/>
                <w:lang w:val="en-US" w:eastAsia="zh-CN"/>
              </w:rPr>
              <w:t>有效</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组织对外联络，关注顾客的感受情况（QMS）：顾客满意度评价、合同等</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360" w:lineRule="auto"/>
              <w:rPr>
                <w:rFonts w:ascii="宋体" w:hAnsi="宋体"/>
                <w:b/>
                <w:sz w:val="21"/>
                <w:szCs w:val="21"/>
              </w:rPr>
            </w:pPr>
            <w:r>
              <w:rPr>
                <w:rFonts w:hint="eastAsia" w:ascii="楷体_GB2312" w:eastAsia="楷体_GB2312"/>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生产工艺流程为：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配料称量→投料→一次混合→二次混合→打包→成品验收入库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经确认需确认的过程：混合工序。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提供特殊过程的《特殊过程确认单》，对混合过程进行了过程确认。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公司按照制定的程序、规程、管理制度等文件对目标管理、资源管理、文件管理、采购、生产制备、绩效监测、改进等过程实施了过程控制。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sz w:val="21"/>
                <w:szCs w:val="21"/>
              </w:rPr>
            </w:pPr>
            <w:r>
              <w:rPr>
                <w:rFonts w:hint="eastAsia" w:ascii="Times New Roman" w:hAnsi="Times New Roman" w:eastAsia="宋体" w:cs="Times New Roman"/>
                <w:sz w:val="21"/>
                <w:szCs w:val="21"/>
                <w:lang w:val="en-US" w:eastAsia="zh-CN"/>
              </w:rPr>
              <w:t>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《畜禽鱼复合预混合饲料》Q/JDY001-2018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《猪配合饲料》Q/JDY002-2018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《猪浓缩饲料》Q/JDY003-2018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《反刍动物浓缩饲料》Q/JDY004-2018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《泥鳅配合饲料》Q/JDY005-2018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imes New Roman" w:hAnsi="Times New Roman" w:eastAsia="宋体" w:cs="Times New Roman"/>
                <w:sz w:val="21"/>
                <w:szCs w:val="21"/>
                <w:lang w:val="en-US" w:eastAsia="zh-CN"/>
              </w:rPr>
              <w:t>《黄鳝配合饲料》</w:t>
            </w:r>
            <w:r>
              <w:rPr>
                <w:rFonts w:hint="eastAsia" w:asciiTheme="minorEastAsia" w:hAnsiTheme="minorEastAsia" w:eastAsiaTheme="minorEastAsia" w:cstheme="minorEastAsia"/>
                <w:color w:val="auto"/>
                <w:sz w:val="21"/>
                <w:szCs w:val="21"/>
                <w:lang w:val="en-US" w:eastAsia="zh-CN"/>
              </w:rPr>
              <w:t>Q/JDY006-2018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《育肥猪浓缩料》Q/JDY007-2018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《仔猪、生长肥育猪维生素预混合饲料》NY/T 1029-2006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《奶牛复合微量素维生素预混合饲料》GB/T 20804-2006等</w:t>
            </w:r>
          </w:p>
          <w:p>
            <w:pPr>
              <w:spacing w:line="360" w:lineRule="auto"/>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江西省分析测试中心出具的委托检验报告：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2021.4.13，乳猪教槽配合饲料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2021.4.13，40%乳猪浓缩饲料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2021.4.13，8%小猪用复合预混合饲料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检验结论均符合相关标准，详见附件。</w:t>
            </w:r>
          </w:p>
          <w:p>
            <w:pPr>
              <w:spacing w:line="360" w:lineRule="auto"/>
              <w:ind w:firstLine="210" w:firstLineChars="100"/>
              <w:rPr>
                <w:rFonts w:ascii="宋体" w:hAnsi="宋体"/>
                <w:b/>
                <w:sz w:val="21"/>
                <w:szCs w:val="21"/>
              </w:rPr>
            </w:pPr>
            <w:r>
              <w:rPr>
                <w:rFonts w:hint="eastAsia" w:hAnsi="宋体"/>
                <w:sz w:val="21"/>
                <w:szCs w:val="21"/>
              </w:rPr>
              <w:t>公司产品的监视和测量控制基本符合规定要求。</w:t>
            </w:r>
          </w:p>
          <w:p>
            <w:pPr>
              <w:spacing w:line="360" w:lineRule="auto"/>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sz w:val="21"/>
                <w:szCs w:val="21"/>
              </w:rPr>
            </w:pPr>
            <w:r>
              <w:rPr>
                <w:rFonts w:hint="eastAsia" w:ascii="Times New Roman" w:hAnsi="Times New Roman" w:eastAsia="宋体" w:cs="Times New Roman"/>
                <w:sz w:val="21"/>
                <w:szCs w:val="21"/>
                <w:lang w:val="en-US" w:eastAsia="zh-CN"/>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处理，批量的不合格品要求填写“不合格品报告”，记录不合格品名称、规格/型号、数量、不合格事实、评审处置措施，验证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hint="eastAsia"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hint="default" w:ascii="宋体" w:hAnsi="宋体" w:eastAsia="宋体"/>
                <w:b/>
                <w:sz w:val="21"/>
                <w:szCs w:val="21"/>
                <w:lang w:val="en-US" w:eastAsia="zh-CN"/>
              </w:rPr>
            </w:pPr>
            <w:r>
              <w:rPr>
                <w:rFonts w:hint="eastAsia" w:ascii="宋体" w:hAnsi="宋体"/>
                <w:b w:val="0"/>
                <w:bCs/>
                <w:sz w:val="21"/>
                <w:szCs w:val="21"/>
                <w:lang w:val="en-US" w:eastAsia="zh-CN"/>
              </w:rPr>
              <w:t>对特种设备每月检查，定期由第三方进行检定，保留检定证书。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20" w:type="dxa"/>
            <w:vMerge w:val="restart"/>
            <w:textDirection w:val="tbRlV"/>
            <w:vAlign w:val="center"/>
          </w:tcPr>
          <w:p>
            <w:pPr>
              <w:spacing w:line="360" w:lineRule="auto"/>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kern w:val="2"/>
                <w:sz w:val="21"/>
                <w:szCs w:val="21"/>
                <w:lang w:val="en-US" w:eastAsia="zh-CN" w:bidi="ar-SA"/>
              </w:rPr>
            </w:pPr>
            <w:r>
              <w:rPr>
                <w:rFonts w:hint="default" w:ascii="宋体" w:hAnsi="宋体" w:eastAsia="宋体" w:cs="Times New Roman"/>
                <w:b w:val="0"/>
                <w:bCs/>
                <w:kern w:val="2"/>
                <w:sz w:val="21"/>
                <w:szCs w:val="21"/>
                <w:lang w:val="en-US" w:eastAsia="zh-CN" w:bidi="ar-SA"/>
              </w:rPr>
              <w:t>公司组织各部门策划和实施必要的监视和测量活动，确保产品、体系和过程的符合性，以持续改进质量管理体系的有效性。</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kern w:val="2"/>
                <w:sz w:val="21"/>
                <w:szCs w:val="21"/>
                <w:lang w:val="en-US" w:eastAsia="zh-CN" w:bidi="ar-SA"/>
              </w:rPr>
            </w:pPr>
            <w:r>
              <w:rPr>
                <w:rFonts w:hint="default" w:ascii="宋体" w:hAnsi="宋体" w:eastAsia="宋体" w:cs="Times New Roman"/>
                <w:b w:val="0"/>
                <w:bCs/>
                <w:kern w:val="2"/>
                <w:sz w:val="21"/>
                <w:szCs w:val="21"/>
                <w:lang w:val="en-US" w:eastAsia="zh-CN" w:bidi="ar-SA"/>
              </w:rPr>
              <w:t>公司的过程和体系的监视和测量主要是通过内审、管理评审、目标考核以及日常工作监督、产品检验、顾客满意度测量等的方式完成。</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kern w:val="2"/>
                <w:sz w:val="21"/>
                <w:szCs w:val="21"/>
                <w:lang w:val="en-US" w:eastAsia="zh-CN" w:bidi="ar-SA"/>
              </w:rPr>
            </w:pPr>
            <w:r>
              <w:rPr>
                <w:rFonts w:hint="default" w:ascii="宋体" w:hAnsi="宋体" w:eastAsia="宋体" w:cs="Times New Roman"/>
                <w:b w:val="0"/>
                <w:bCs/>
                <w:kern w:val="2"/>
                <w:sz w:val="21"/>
                <w:szCs w:val="21"/>
                <w:lang w:val="en-US" w:eastAsia="zh-CN" w:bidi="ar-SA"/>
              </w:rPr>
              <w:t>行政部负责对体系、过程的日常监测</w:t>
            </w:r>
            <w:r>
              <w:rPr>
                <w:rFonts w:hint="eastAsia" w:ascii="宋体" w:hAnsi="宋体" w:eastAsia="宋体" w:cs="Times New Roman"/>
                <w:b w:val="0"/>
                <w:bCs/>
                <w:kern w:val="2"/>
                <w:sz w:val="21"/>
                <w:szCs w:val="21"/>
                <w:lang w:val="en-US" w:eastAsia="zh-CN" w:bidi="ar-SA"/>
              </w:rPr>
              <w:t>，</w:t>
            </w:r>
            <w:r>
              <w:rPr>
                <w:rFonts w:hint="default" w:ascii="宋体" w:hAnsi="宋体" w:eastAsia="宋体" w:cs="Times New Roman"/>
                <w:b w:val="0"/>
                <w:bCs/>
                <w:kern w:val="2"/>
                <w:sz w:val="21"/>
                <w:szCs w:val="21"/>
                <w:lang w:val="en-US" w:eastAsia="zh-CN" w:bidi="ar-SA"/>
              </w:rPr>
              <w:t>对目标完成情况进行收集和统计分析，并制作目标完成情况统计表</w:t>
            </w:r>
            <w:r>
              <w:rPr>
                <w:rFonts w:hint="eastAsia" w:ascii="宋体" w:hAnsi="宋体" w:eastAsia="宋体" w:cs="Times New Roman"/>
                <w:b w:val="0"/>
                <w:bCs/>
                <w:kern w:val="2"/>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kern w:val="2"/>
                <w:sz w:val="21"/>
                <w:szCs w:val="21"/>
                <w:lang w:val="en-US" w:eastAsia="zh-CN" w:bidi="ar-SA"/>
              </w:rPr>
            </w:pPr>
            <w:r>
              <w:rPr>
                <w:rFonts w:hint="default" w:ascii="宋体" w:hAnsi="宋体" w:eastAsia="宋体" w:cs="Times New Roman"/>
                <w:b w:val="0"/>
                <w:bCs/>
                <w:kern w:val="2"/>
                <w:sz w:val="21"/>
                <w:szCs w:val="21"/>
                <w:lang w:val="en-US" w:eastAsia="zh-CN" w:bidi="ar-SA"/>
              </w:rPr>
              <w:t>生产部对产品实现各过程进行监督检查，按照要求进行了产品实现各阶段的检验</w:t>
            </w:r>
            <w:r>
              <w:rPr>
                <w:rFonts w:hint="eastAsia" w:ascii="宋体" w:hAnsi="宋体" w:eastAsia="宋体" w:cs="Times New Roman"/>
                <w:b w:val="0"/>
                <w:bCs/>
                <w:kern w:val="2"/>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kern w:val="2"/>
                <w:sz w:val="21"/>
                <w:szCs w:val="21"/>
                <w:lang w:val="en-US" w:eastAsia="zh-CN" w:bidi="ar-SA"/>
              </w:rPr>
            </w:pPr>
            <w:r>
              <w:rPr>
                <w:rFonts w:hint="default" w:ascii="宋体" w:hAnsi="宋体" w:eastAsia="宋体" w:cs="Times New Roman"/>
                <w:b w:val="0"/>
                <w:bCs/>
                <w:kern w:val="2"/>
                <w:sz w:val="21"/>
                <w:szCs w:val="21"/>
                <w:lang w:val="en-US" w:eastAsia="zh-CN" w:bidi="ar-SA"/>
              </w:rPr>
              <w:t>销售部对顾客满意度进行了定期评价和分析。</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kern w:val="2"/>
                <w:sz w:val="21"/>
                <w:szCs w:val="21"/>
                <w:lang w:val="en-US" w:eastAsia="zh-CN" w:bidi="ar-SA"/>
              </w:rPr>
            </w:pPr>
            <w:r>
              <w:rPr>
                <w:rFonts w:hint="default" w:ascii="宋体" w:hAnsi="宋体" w:eastAsia="宋体" w:cs="Times New Roman"/>
                <w:b w:val="0"/>
                <w:bCs/>
                <w:kern w:val="2"/>
                <w:sz w:val="21"/>
                <w:szCs w:val="21"/>
                <w:lang w:val="en-US" w:eastAsia="zh-CN" w:bidi="ar-SA"/>
              </w:rPr>
              <w:t>公司已建立了监视和测量的渠道并实施，但利用深度须加强，已交流。</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b/>
                <w:sz w:val="21"/>
                <w:szCs w:val="21"/>
              </w:rPr>
            </w:pPr>
            <w:r>
              <w:rPr>
                <w:rFonts w:hint="default" w:ascii="宋体" w:hAnsi="宋体" w:eastAsia="宋体" w:cs="Times New Roman"/>
                <w:b w:val="0"/>
                <w:bCs/>
                <w:kern w:val="2"/>
                <w:sz w:val="21"/>
                <w:szCs w:val="21"/>
                <w:lang w:val="en-US" w:eastAsia="zh-CN" w:bidi="ar-SA"/>
              </w:rPr>
              <w:t>公司已对管理体系的监视、测量、分析和评价进行了策划，基本能够按照要求实施。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20" w:type="dxa"/>
            <w:vMerge w:val="continue"/>
            <w:textDirection w:val="tbRlV"/>
            <w:vAlign w:val="center"/>
          </w:tcPr>
          <w:p>
            <w:pPr>
              <w:spacing w:line="360" w:lineRule="auto"/>
              <w:ind w:left="113" w:right="113"/>
              <w:jc w:val="center"/>
              <w:rPr>
                <w:b/>
                <w:sz w:val="21"/>
                <w:szCs w:val="21"/>
              </w:rPr>
            </w:pPr>
          </w:p>
        </w:tc>
        <w:tc>
          <w:tcPr>
            <w:tcW w:w="9198" w:type="dxa"/>
          </w:tcPr>
          <w:p>
            <w:pPr>
              <w:spacing w:line="360" w:lineRule="auto"/>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2021年3月11日-- 2021年3月15日，对顾客满意情况进行了调查，发放顾客满意度调查表4份，收回4份；</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b/>
                <w:sz w:val="21"/>
                <w:szCs w:val="21"/>
                <w:lang w:val="en-US" w:eastAsia="zh-CN"/>
              </w:rPr>
            </w:pPr>
            <w:r>
              <w:rPr>
                <w:rFonts w:hint="eastAsia" w:ascii="宋体" w:hAnsi="宋体" w:eastAsia="宋体" w:cs="Times New Roman"/>
                <w:b w:val="0"/>
                <w:bCs/>
                <w:kern w:val="2"/>
                <w:sz w:val="21"/>
                <w:szCs w:val="21"/>
                <w:lang w:val="en-US" w:eastAsia="zh-CN" w:bidi="ar-SA"/>
              </w:rPr>
              <w:t>查见“顾客满意度调查分析”，满意度99.25分。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720" w:type="dxa"/>
            <w:vMerge w:val="continue"/>
            <w:textDirection w:val="tbRlV"/>
            <w:vAlign w:val="center"/>
          </w:tcPr>
          <w:p>
            <w:pPr>
              <w:spacing w:line="360" w:lineRule="auto"/>
              <w:ind w:left="113" w:right="113"/>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kern w:val="2"/>
                <w:sz w:val="21"/>
                <w:szCs w:val="21"/>
                <w:lang w:val="en-US" w:eastAsia="zh-CN" w:bidi="ar-SA"/>
              </w:rPr>
            </w:pPr>
            <w:r>
              <w:rPr>
                <w:rFonts w:hint="default" w:ascii="宋体" w:hAnsi="宋体" w:eastAsia="宋体" w:cs="Times New Roman"/>
                <w:b w:val="0"/>
                <w:bCs/>
                <w:kern w:val="2"/>
                <w:sz w:val="21"/>
                <w:szCs w:val="21"/>
                <w:lang w:val="en-US" w:eastAsia="zh-CN" w:bidi="ar-SA"/>
              </w:rPr>
              <w:t>2021年01月08，对各部门进行了内审，保留了内审计划、内审记录、不符合报告、内审报告；内审覆盖了管理体系范围内的活动及标准的要求；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kern w:val="2"/>
                <w:sz w:val="21"/>
                <w:szCs w:val="21"/>
                <w:lang w:val="en-US" w:eastAsia="zh-CN" w:bidi="ar-SA"/>
              </w:rPr>
            </w:pPr>
            <w:r>
              <w:rPr>
                <w:rFonts w:hint="default" w:ascii="宋体" w:hAnsi="宋体" w:eastAsia="宋体" w:cs="Times New Roman"/>
                <w:b w:val="0"/>
                <w:bCs/>
                <w:kern w:val="2"/>
                <w:sz w:val="21"/>
                <w:szCs w:val="21"/>
                <w:lang w:val="en-US" w:eastAsia="zh-CN" w:bidi="ar-SA"/>
              </w:rPr>
              <w:t>本次内审未发现不合格项；</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b/>
                <w:sz w:val="21"/>
                <w:szCs w:val="21"/>
              </w:rPr>
            </w:pPr>
            <w:r>
              <w:rPr>
                <w:rFonts w:hint="default" w:ascii="宋体" w:hAnsi="宋体" w:eastAsia="宋体" w:cs="Times New Roman"/>
                <w:b w:val="0"/>
                <w:bCs/>
                <w:kern w:val="2"/>
                <w:sz w:val="21"/>
                <w:szCs w:val="21"/>
                <w:lang w:val="en-US" w:eastAsia="zh-CN" w:bidi="ar-SA"/>
              </w:rPr>
              <w:t>内审结论为：三体系运行基本良好，运行达到一定的效果，基本符合标准的要求，但仍存在不足，各部门应举一反三，对类似问题予以整改。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0" w:type="dxa"/>
            <w:vMerge w:val="continue"/>
            <w:textDirection w:val="tbRlV"/>
            <w:vAlign w:val="center"/>
          </w:tcPr>
          <w:p>
            <w:pPr>
              <w:spacing w:line="360" w:lineRule="auto"/>
              <w:ind w:left="113" w:right="113"/>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ind w:firstLine="420" w:firstLineChars="200"/>
              <w:rPr>
                <w:rFonts w:hint="eastAsia"/>
                <w:sz w:val="21"/>
                <w:szCs w:val="21"/>
                <w:lang w:val="en-US" w:eastAsia="zh-CN"/>
              </w:rPr>
            </w:pPr>
            <w:r>
              <w:rPr>
                <w:rFonts w:hint="eastAsia"/>
                <w:sz w:val="21"/>
                <w:szCs w:val="21"/>
                <w:lang w:val="en-US" w:eastAsia="zh-CN"/>
              </w:rPr>
              <w:t>2021年01月18日在公司会议室由</w:t>
            </w:r>
            <w:r>
              <w:rPr>
                <w:rFonts w:hint="eastAsia"/>
                <w:color w:val="auto"/>
                <w:sz w:val="21"/>
                <w:szCs w:val="21"/>
                <w:highlight w:val="none"/>
                <w:lang w:val="en-US" w:eastAsia="zh-CN"/>
              </w:rPr>
              <w:t>曹江山</w:t>
            </w:r>
            <w:r>
              <w:rPr>
                <w:rFonts w:hint="eastAsia"/>
                <w:sz w:val="21"/>
                <w:szCs w:val="21"/>
                <w:lang w:val="en-US" w:eastAsia="zh-CN"/>
              </w:rPr>
              <w:t>总经理主持召开管理评审会议；保留管理评审计划、管理评审报告、管理评审会议纪要等；</w:t>
            </w:r>
          </w:p>
          <w:p>
            <w:pPr>
              <w:spacing w:line="360" w:lineRule="auto"/>
              <w:ind w:firstLine="420" w:firstLineChars="200"/>
              <w:rPr>
                <w:rFonts w:hint="eastAsia"/>
                <w:sz w:val="21"/>
                <w:szCs w:val="21"/>
                <w:lang w:val="en-US" w:eastAsia="zh-CN"/>
              </w:rPr>
            </w:pPr>
            <w:r>
              <w:rPr>
                <w:rFonts w:hint="eastAsia"/>
                <w:sz w:val="21"/>
                <w:szCs w:val="21"/>
                <w:lang w:val="en-US" w:eastAsia="zh-CN"/>
              </w:rPr>
              <w:t>管理评审输入未包括上次评审改进措施的跟踪，交流；</w:t>
            </w:r>
          </w:p>
          <w:p>
            <w:pPr>
              <w:spacing w:line="360" w:lineRule="auto"/>
              <w:ind w:firstLine="420" w:firstLineChars="200"/>
              <w:rPr>
                <w:rFonts w:hint="eastAsia"/>
                <w:sz w:val="21"/>
                <w:szCs w:val="21"/>
                <w:lang w:val="en-US" w:eastAsia="zh-CN"/>
              </w:rPr>
            </w:pPr>
            <w:r>
              <w:rPr>
                <w:rFonts w:hint="eastAsia"/>
                <w:sz w:val="21"/>
                <w:szCs w:val="21"/>
                <w:lang w:val="en-US" w:eastAsia="zh-CN"/>
              </w:rPr>
              <w:t>管理评审结论：质量管理体系的建立和运行是充分的、适宜的、有效的。</w:t>
            </w:r>
          </w:p>
          <w:p>
            <w:pPr>
              <w:spacing w:line="360" w:lineRule="auto"/>
              <w:ind w:firstLine="420" w:firstLineChars="200"/>
              <w:rPr>
                <w:rFonts w:hint="eastAsia"/>
                <w:sz w:val="21"/>
                <w:szCs w:val="21"/>
                <w:lang w:val="en-US" w:eastAsia="zh-CN"/>
              </w:rPr>
            </w:pPr>
            <w:r>
              <w:rPr>
                <w:rFonts w:hint="eastAsia"/>
                <w:sz w:val="21"/>
                <w:szCs w:val="21"/>
                <w:lang w:val="en-US" w:eastAsia="zh-CN"/>
              </w:rPr>
              <w:t>改进措施要求：加强内部管理，提高人员综合素质。</w:t>
            </w:r>
          </w:p>
          <w:p>
            <w:pPr>
              <w:spacing w:line="360" w:lineRule="auto"/>
              <w:ind w:firstLine="420" w:firstLineChars="200"/>
              <w:rPr>
                <w:rFonts w:ascii="宋体" w:hAnsi="宋体"/>
                <w:b/>
                <w:sz w:val="21"/>
                <w:szCs w:val="21"/>
              </w:rPr>
            </w:pPr>
            <w:r>
              <w:rPr>
                <w:rFonts w:hint="eastAsia" w:ascii="Times New Roman" w:hAnsi="Times New Roman" w:eastAsia="宋体" w:cs="Times New Roman"/>
                <w:sz w:val="21"/>
                <w:szCs w:val="21"/>
                <w:lang w:val="en-US" w:eastAsia="zh-CN"/>
              </w:rPr>
              <w:t>保留有“管理评审改进措施计划”。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0" w:type="dxa"/>
            <w:vMerge w:val="continue"/>
            <w:vAlign w:val="center"/>
          </w:tcPr>
          <w:p>
            <w:pPr>
              <w:spacing w:line="360" w:lineRule="auto"/>
              <w:jc w:val="center"/>
              <w:rPr>
                <w:b/>
                <w:sz w:val="21"/>
                <w:szCs w:val="21"/>
              </w:rPr>
            </w:pPr>
          </w:p>
        </w:tc>
        <w:tc>
          <w:tcPr>
            <w:tcW w:w="9198" w:type="dxa"/>
          </w:tcPr>
          <w:p>
            <w:pPr>
              <w:spacing w:line="240" w:lineRule="auto"/>
              <w:rPr>
                <w:rFonts w:hint="eastAsia"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20" w:type="dxa"/>
            <w:vMerge w:val="continue"/>
            <w:vAlign w:val="center"/>
          </w:tcPr>
          <w:p>
            <w:pPr>
              <w:spacing w:line="360" w:lineRule="auto"/>
              <w:jc w:val="center"/>
              <w:rPr>
                <w:b/>
                <w:sz w:val="21"/>
                <w:szCs w:val="21"/>
              </w:rPr>
            </w:pPr>
          </w:p>
        </w:tc>
        <w:tc>
          <w:tcPr>
            <w:tcW w:w="9198" w:type="dxa"/>
          </w:tcPr>
          <w:p>
            <w:pPr>
              <w:spacing w:line="240" w:lineRule="auto"/>
              <w:rPr>
                <w:rFonts w:ascii="宋体" w:hAnsi="宋体" w:eastAsia="宋体" w:cs="Times New Roman"/>
                <w:b/>
                <w:sz w:val="21"/>
                <w:szCs w:val="21"/>
              </w:rPr>
            </w:pPr>
            <w:r>
              <w:rPr>
                <w:rFonts w:ascii="宋体" w:hAnsi="宋体" w:eastAsia="宋体" w:cs="Times New Roman"/>
                <w:b/>
                <w:sz w:val="21"/>
                <w:szCs w:val="21"/>
              </w:rPr>
              <w:t>6.  EMS</w:t>
            </w:r>
            <w:r>
              <w:rPr>
                <w:rFonts w:hint="eastAsia" w:ascii="宋体" w:hAnsi="宋体" w:eastAsia="宋体" w:cs="Times New Roman"/>
                <w:b/>
                <w:sz w:val="21"/>
                <w:szCs w:val="21"/>
              </w:rPr>
              <w:t>国家</w:t>
            </w:r>
            <w:r>
              <w:rPr>
                <w:rFonts w:ascii="宋体" w:hAnsi="宋体" w:eastAsia="宋体" w:cs="Times New Roman"/>
                <w:b/>
                <w:sz w:val="21"/>
                <w:szCs w:val="21"/>
              </w:rPr>
              <w:t>/</w:t>
            </w:r>
            <w:r>
              <w:rPr>
                <w:rFonts w:hint="eastAsia" w:ascii="宋体" w:hAnsi="宋体" w:eastAsia="宋体" w:cs="Times New Roman"/>
                <w:b/>
                <w:sz w:val="21"/>
                <w:szCs w:val="21"/>
              </w:rPr>
              <w:t>地方环保部门监测结果、新改扩建项目符合环评报告、三同时验收报告要求情况及措施</w:t>
            </w:r>
            <w:r>
              <w:rPr>
                <w:rFonts w:ascii="宋体" w:hAnsi="宋体" w:eastAsia="宋体" w:cs="Times New Roman"/>
                <w:b/>
                <w:sz w:val="21"/>
                <w:szCs w:val="21"/>
              </w:rPr>
              <w:t>(98</w:t>
            </w:r>
            <w:r>
              <w:rPr>
                <w:rFonts w:hint="eastAsia" w:ascii="宋体" w:hAnsi="宋体" w:eastAsia="宋体" w:cs="Times New Roman"/>
                <w:b/>
                <w:sz w:val="21"/>
                <w:szCs w:val="21"/>
              </w:rPr>
              <w:t>年后</w:t>
            </w:r>
            <w:r>
              <w:rPr>
                <w:rFonts w:ascii="宋体" w:hAnsi="宋体" w:eastAsia="宋体" w:cs="Times New Roman"/>
                <w:b/>
                <w:sz w:val="21"/>
                <w:szCs w:val="21"/>
              </w:rPr>
              <w:t xml:space="preserve">) </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20" w:type="dxa"/>
            <w:vMerge w:val="continue"/>
            <w:vAlign w:val="center"/>
          </w:tcPr>
          <w:p>
            <w:pPr>
              <w:spacing w:line="360" w:lineRule="auto"/>
              <w:jc w:val="center"/>
              <w:rPr>
                <w:b/>
                <w:sz w:val="21"/>
                <w:szCs w:val="21"/>
              </w:rPr>
            </w:pPr>
          </w:p>
        </w:tc>
        <w:tc>
          <w:tcPr>
            <w:tcW w:w="9198" w:type="dxa"/>
          </w:tcPr>
          <w:p>
            <w:pPr>
              <w:spacing w:line="240" w:lineRule="auto"/>
              <w:rPr>
                <w:rFonts w:ascii="宋体" w:hAnsi="宋体" w:eastAsia="宋体" w:cs="Times New Roman"/>
                <w:b/>
                <w:sz w:val="21"/>
                <w:szCs w:val="21"/>
              </w:rPr>
            </w:pPr>
            <w:r>
              <w:rPr>
                <w:rFonts w:ascii="宋体" w:hAnsi="宋体" w:eastAsia="宋体" w:cs="Times New Roman"/>
                <w:b/>
                <w:sz w:val="21"/>
                <w:szCs w:val="21"/>
              </w:rPr>
              <w:t>7. OHSMS</w:t>
            </w:r>
            <w:r>
              <w:rPr>
                <w:rFonts w:hint="eastAsia" w:ascii="宋体" w:hAnsi="宋体" w:eastAsia="宋体" w:cs="Times New Roman"/>
                <w:b/>
                <w:sz w:val="21"/>
                <w:szCs w:val="21"/>
              </w:rPr>
              <w:t>是否按规定对职业健康安全项目进行定期测量，结果是否满足相关要求：</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720" w:type="dxa"/>
            <w:vMerge w:val="continue"/>
            <w:vAlign w:val="center"/>
          </w:tcPr>
          <w:p>
            <w:pPr>
              <w:spacing w:line="360" w:lineRule="auto"/>
              <w:jc w:val="center"/>
              <w:rPr>
                <w:b/>
                <w:sz w:val="21"/>
                <w:szCs w:val="21"/>
              </w:rPr>
            </w:pPr>
          </w:p>
        </w:tc>
        <w:tc>
          <w:tcPr>
            <w:tcW w:w="9198" w:type="dxa"/>
          </w:tcPr>
          <w:p>
            <w:pPr>
              <w:spacing w:line="240" w:lineRule="auto"/>
              <w:rPr>
                <w:rFonts w:ascii="宋体" w:hAnsi="宋体" w:eastAsia="宋体" w:cs="Times New Roman"/>
                <w:b/>
                <w:sz w:val="21"/>
                <w:szCs w:val="21"/>
              </w:rPr>
            </w:pPr>
            <w:r>
              <w:rPr>
                <w:rFonts w:ascii="宋体" w:hAnsi="宋体" w:eastAsia="宋体" w:cs="Times New Roman"/>
                <w:b/>
                <w:sz w:val="21"/>
                <w:szCs w:val="21"/>
              </w:rPr>
              <w:t>8.OHSMS</w:t>
            </w:r>
            <w:r>
              <w:rPr>
                <w:rFonts w:hint="eastAsia" w:ascii="宋体" w:hAnsi="宋体" w:eastAsia="宋体" w:cs="Times New Roman"/>
                <w:b/>
                <w:sz w:val="21"/>
                <w:szCs w:val="21"/>
              </w:rPr>
              <w:t>国家</w:t>
            </w:r>
            <w:r>
              <w:rPr>
                <w:rFonts w:ascii="宋体" w:hAnsi="宋体" w:eastAsia="宋体" w:cs="Times New Roman"/>
                <w:b/>
                <w:sz w:val="21"/>
                <w:szCs w:val="21"/>
              </w:rPr>
              <w:t>/</w:t>
            </w:r>
            <w:r>
              <w:rPr>
                <w:rFonts w:hint="eastAsia" w:ascii="宋体" w:hAnsi="宋体" w:eastAsia="宋体" w:cs="Times New Roman"/>
                <w:b/>
                <w:sz w:val="21"/>
                <w:szCs w:val="21"/>
              </w:rPr>
              <w:t>地方职业健康安全部门监督检查情况及措施</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sz w:val="21"/>
                <w:szCs w:val="21"/>
              </w:rPr>
            </w:pPr>
          </w:p>
        </w:tc>
        <w:tc>
          <w:tcPr>
            <w:tcW w:w="9198" w:type="dxa"/>
          </w:tcPr>
          <w:p>
            <w:pPr>
              <w:spacing w:line="240" w:lineRule="auto"/>
              <w:rPr>
                <w:rFonts w:hint="eastAsia" w:ascii="宋体" w:hAnsi="宋体" w:eastAsia="宋体" w:cs="Times New Roman"/>
                <w:b/>
                <w:sz w:val="21"/>
                <w:szCs w:val="21"/>
              </w:rPr>
            </w:pPr>
            <w:r>
              <w:rPr>
                <w:rFonts w:ascii="宋体" w:hAnsi="宋体" w:eastAsia="宋体" w:cs="Times New Roman"/>
                <w:b/>
                <w:sz w:val="21"/>
                <w:szCs w:val="21"/>
              </w:rPr>
              <w:t xml:space="preserve">9. </w:t>
            </w:r>
            <w:r>
              <w:rPr>
                <w:rFonts w:hint="eastAsia" w:ascii="宋体" w:hAnsi="宋体" w:eastAsia="宋体" w:cs="Times New Roman"/>
                <w:b/>
                <w:sz w:val="21"/>
                <w:szCs w:val="21"/>
              </w:rPr>
              <w:t>其他能够标明组织绩效、信誉的证据</w:t>
            </w:r>
            <w:r>
              <w:rPr>
                <w:rFonts w:ascii="宋体" w:hAnsi="宋体" w:eastAsia="宋体" w:cs="Times New Roman"/>
                <w:b/>
                <w:sz w:val="21"/>
                <w:szCs w:val="21"/>
              </w:rPr>
              <w:t>/</w:t>
            </w:r>
            <w:r>
              <w:rPr>
                <w:rFonts w:hint="eastAsia" w:ascii="宋体" w:hAnsi="宋体" w:eastAsia="宋体" w:cs="Times New Roman"/>
                <w:b/>
                <w:sz w:val="21"/>
                <w:szCs w:val="21"/>
              </w:rPr>
              <w:t>信息：</w:t>
            </w:r>
          </w:p>
          <w:p>
            <w:pPr>
              <w:widowControl/>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720" w:type="dxa"/>
            <w:vMerge w:val="restart"/>
            <w:vAlign w:val="center"/>
          </w:tcPr>
          <w:p>
            <w:pPr>
              <w:spacing w:line="360" w:lineRule="auto"/>
              <w:ind w:left="113" w:right="113"/>
              <w:jc w:val="center"/>
              <w:rPr>
                <w:rFonts w:ascii="宋体" w:hAnsi="宋体"/>
                <w:b/>
                <w:sz w:val="21"/>
                <w:szCs w:val="21"/>
              </w:rPr>
            </w:pPr>
            <w:r>
              <w:rPr>
                <w:rFonts w:hint="eastAsia" w:ascii="宋体" w:hAnsi="宋体"/>
                <w:b/>
                <w:sz w:val="21"/>
                <w:szCs w:val="21"/>
              </w:rPr>
              <w:t>(五)持</w:t>
            </w:r>
          </w:p>
          <w:p>
            <w:pPr>
              <w:spacing w:line="360" w:lineRule="auto"/>
              <w:ind w:left="113" w:right="113"/>
              <w:jc w:val="center"/>
              <w:rPr>
                <w:rFonts w:ascii="宋体" w:hAnsi="宋体"/>
                <w:b/>
                <w:sz w:val="21"/>
                <w:szCs w:val="21"/>
              </w:rPr>
            </w:pPr>
            <w:r>
              <w:rPr>
                <w:rFonts w:hint="eastAsia" w:ascii="宋体" w:hAnsi="宋体"/>
                <w:b/>
                <w:sz w:val="21"/>
                <w:szCs w:val="21"/>
              </w:rPr>
              <w:t>续</w:t>
            </w:r>
          </w:p>
          <w:p>
            <w:pPr>
              <w:spacing w:line="360" w:lineRule="auto"/>
              <w:ind w:left="113" w:right="113"/>
              <w:jc w:val="center"/>
              <w:rPr>
                <w:rFonts w:ascii="宋体" w:hAnsi="宋体"/>
                <w:b/>
                <w:sz w:val="21"/>
                <w:szCs w:val="21"/>
              </w:rPr>
            </w:pPr>
            <w:r>
              <w:rPr>
                <w:rFonts w:hint="eastAsia" w:ascii="宋体" w:hAnsi="宋体"/>
                <w:b/>
                <w:sz w:val="21"/>
                <w:szCs w:val="21"/>
              </w:rPr>
              <w:t>改</w:t>
            </w:r>
          </w:p>
          <w:p>
            <w:pPr>
              <w:spacing w:line="360" w:lineRule="auto"/>
              <w:ind w:left="113" w:right="113"/>
              <w:jc w:val="center"/>
              <w:rPr>
                <w:b/>
                <w:sz w:val="21"/>
                <w:szCs w:val="21"/>
              </w:rPr>
            </w:pPr>
            <w:r>
              <w:rPr>
                <w:rFonts w:hint="eastAsia" w:ascii="宋体" w:hAnsi="宋体"/>
                <w:b/>
                <w:sz w:val="21"/>
                <w:szCs w:val="21"/>
              </w:rPr>
              <w:t>进</w:t>
            </w:r>
          </w:p>
        </w:tc>
        <w:tc>
          <w:tcPr>
            <w:tcW w:w="9198" w:type="dxa"/>
          </w:tcPr>
          <w:p>
            <w:pPr>
              <w:spacing w:line="240" w:lineRule="auto"/>
              <w:rPr>
                <w:rFonts w:ascii="宋体" w:hAnsi="宋体" w:eastAsia="宋体" w:cs="Times New Roman"/>
                <w:b/>
                <w:sz w:val="21"/>
                <w:szCs w:val="21"/>
              </w:rPr>
            </w:pPr>
            <w:r>
              <w:rPr>
                <w:rFonts w:ascii="宋体" w:hAnsi="宋体" w:eastAsia="宋体" w:cs="Times New Roman"/>
                <w:b/>
                <w:sz w:val="21"/>
                <w:szCs w:val="21"/>
              </w:rPr>
              <w:t xml:space="preserve">1 </w:t>
            </w:r>
            <w:r>
              <w:rPr>
                <w:rFonts w:hint="eastAsia" w:ascii="宋体" w:hAnsi="宋体" w:eastAsia="宋体" w:cs="Times New Roman"/>
                <w:b/>
                <w:sz w:val="21"/>
                <w:szCs w:val="21"/>
              </w:rPr>
              <w:t>纠正措施的实施及效果</w:t>
            </w:r>
            <w:r>
              <w:rPr>
                <w:rFonts w:ascii="宋体" w:hAnsi="宋体" w:eastAsia="宋体" w:cs="Times New Roman"/>
                <w:b/>
                <w:sz w:val="21"/>
                <w:szCs w:val="21"/>
              </w:rPr>
              <w:t>;</w:t>
            </w:r>
          </w:p>
          <w:p>
            <w:pPr>
              <w:spacing w:line="360" w:lineRule="auto"/>
              <w:ind w:firstLine="420" w:firstLineChars="200"/>
              <w:rPr>
                <w:rFonts w:ascii="宋体" w:hAnsi="宋体"/>
                <w:b/>
                <w:sz w:val="21"/>
                <w:szCs w:val="21"/>
              </w:rPr>
            </w:pPr>
            <w:r>
              <w:rPr>
                <w:rFonts w:hint="eastAsia" w:ascii="Times New Roman" w:hAnsi="Times New Roman" w:eastAsia="宋体" w:cs="Times New Roman"/>
                <w:sz w:val="21"/>
                <w:szCs w:val="21"/>
                <w:lang w:val="en-US" w:eastAsia="zh-CN"/>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sz w:val="21"/>
                <w:szCs w:val="21"/>
              </w:rPr>
            </w:pPr>
          </w:p>
        </w:tc>
        <w:tc>
          <w:tcPr>
            <w:tcW w:w="9198" w:type="dxa"/>
          </w:tcPr>
          <w:p>
            <w:pPr>
              <w:spacing w:line="360" w:lineRule="auto"/>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360" w:lineRule="auto"/>
              <w:ind w:firstLine="420" w:firstLineChars="200"/>
              <w:rPr>
                <w:rFonts w:hint="eastAsia" w:ascii="宋体" w:hAnsi="宋体" w:eastAsia="宋体"/>
                <w:b/>
                <w:sz w:val="21"/>
                <w:szCs w:val="21"/>
                <w:lang w:val="en-US" w:eastAsia="zh-CN"/>
              </w:rPr>
            </w:pPr>
            <w:r>
              <w:rPr>
                <w:rFonts w:hint="eastAsia" w:cs="Times New Roman"/>
                <w:sz w:val="21"/>
                <w:szCs w:val="21"/>
                <w:lang w:val="en-US" w:eastAsia="zh-CN"/>
              </w:rPr>
              <w:t>上次审核不符合“公司未能提供压力表（储气罐附件）的校准记录”，经现场验证，已整改，纠正措施有效。</w:t>
            </w:r>
            <w:r>
              <w:rPr>
                <w:rFonts w:hint="eastAsia" w:ascii="宋体" w:hAnsi="宋体"/>
                <w:b/>
                <w:sz w:val="21"/>
                <w:szCs w:val="21"/>
                <w:lang w:val="en-US" w:eastAsia="zh-CN"/>
              </w:rPr>
              <w:t xml:space="preserve"> </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ind w:left="-211" w:leftChars="-88" w:firstLine="537" w:firstLineChars="223"/>
        <w:rPr>
          <w:rFonts w:hint="eastAsia" w:ascii="宋体" w:hAnsi="宋体" w:eastAsia="宋体" w:cs="Times New Roman"/>
          <w:b/>
          <w:szCs w:val="21"/>
        </w:rPr>
      </w:pPr>
    </w:p>
    <w:p>
      <w:pPr>
        <w:snapToGrid w:val="0"/>
        <w:spacing w:line="360" w:lineRule="auto"/>
        <w:ind w:left="-211" w:leftChars="-88" w:firstLine="537" w:firstLineChars="223"/>
        <w:rPr>
          <w:rFonts w:hint="eastAsia" w:ascii="宋体" w:hAnsi="宋体" w:eastAsia="宋体" w:cs="Times New Roman"/>
          <w:b/>
          <w:szCs w:val="21"/>
        </w:rPr>
      </w:pP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w:t>
      </w:r>
      <w:bookmarkStart w:id="30" w:name="_GoBack"/>
      <w:bookmarkEnd w:id="30"/>
      <w:r>
        <w:rPr>
          <w:rFonts w:hint="eastAsia" w:ascii="宋体" w:hAnsi="宋体"/>
          <w:b/>
          <w:szCs w:val="21"/>
        </w:rPr>
        <w:t>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auto"/>
              <w:rPr>
                <w:rFonts w:ascii="宋体" w:hAnsi="宋体"/>
                <w:b/>
                <w:szCs w:val="21"/>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u w:val="single"/>
          <w:lang w:val="en-US" w:eastAsia="zh-CN"/>
        </w:rPr>
        <w:t>/</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1567180</wp:posOffset>
            </wp:positionH>
            <wp:positionV relativeFrom="paragraph">
              <wp:posOffset>222885</wp:posOffset>
            </wp:positionV>
            <wp:extent cx="865505" cy="521335"/>
            <wp:effectExtent l="0" t="0" r="10795" b="12065"/>
            <wp:wrapNone/>
            <wp:docPr id="1"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65505" cy="52133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ascii="宋体" w:hAnsi="宋体"/>
          <w:kern w:val="2"/>
          <w:sz w:val="24"/>
          <w:lang w:val="en-US" w:eastAsia="zh-CN" w:bidi="ar-SA"/>
        </w:rPr>
        <w:drawing>
          <wp:anchor distT="0" distB="0" distL="114300" distR="114300" simplePos="0" relativeHeight="251667456" behindDoc="0" locked="0" layoutInCell="1" allowOverlap="1">
            <wp:simplePos x="0" y="0"/>
            <wp:positionH relativeFrom="column">
              <wp:posOffset>2038985</wp:posOffset>
            </wp:positionH>
            <wp:positionV relativeFrom="paragraph">
              <wp:posOffset>55880</wp:posOffset>
            </wp:positionV>
            <wp:extent cx="909955" cy="432435"/>
            <wp:effectExtent l="0" t="0" r="0" b="5715"/>
            <wp:wrapNone/>
            <wp:docPr id="3" name="图片 3" descr="陈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陈锐"/>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909955" cy="43243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2021.7.15</w:t>
      </w:r>
    </w:p>
    <w:p>
      <w:pPr>
        <w:snapToGrid w:val="0"/>
        <w:spacing w:line="200" w:lineRule="exact"/>
        <w:ind w:firstLine="482" w:firstLineChars="300"/>
        <w:rPr>
          <w:b/>
          <w:sz w:val="16"/>
          <w:szCs w:val="16"/>
        </w:rPr>
      </w:pPr>
    </w:p>
    <w:p>
      <w:pPr>
        <w:pStyle w:val="2"/>
        <w:rPr>
          <w:b/>
          <w:sz w:val="16"/>
          <w:szCs w:val="16"/>
        </w:rPr>
      </w:pPr>
    </w:p>
    <w:p>
      <w:pPr>
        <w:pStyle w:val="2"/>
        <w:rPr>
          <w:b/>
          <w:sz w:val="16"/>
          <w:szCs w:val="16"/>
        </w:rPr>
      </w:pPr>
    </w:p>
    <w:p>
      <w:pPr>
        <w:pStyle w:val="2"/>
        <w:rPr>
          <w:b/>
          <w:sz w:val="16"/>
          <w:szCs w:val="16"/>
        </w:rPr>
      </w:pPr>
    </w:p>
    <w:p>
      <w:pPr>
        <w:pStyle w:val="2"/>
        <w:rPr>
          <w:b/>
          <w:sz w:val="16"/>
          <w:szCs w:val="16"/>
        </w:rPr>
      </w:pPr>
    </w:p>
    <w:p>
      <w:pPr>
        <w:pStyle w:val="2"/>
        <w:rPr>
          <w:b/>
          <w:sz w:val="16"/>
          <w:szCs w:val="16"/>
        </w:rPr>
      </w:pPr>
    </w:p>
    <w:p>
      <w:pPr>
        <w:pStyle w:val="2"/>
        <w:rPr>
          <w:b/>
          <w:sz w:val="16"/>
          <w:szCs w:val="16"/>
        </w:rPr>
      </w:pPr>
    </w:p>
    <w:p>
      <w:pPr>
        <w:pStyle w:val="2"/>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9" w:firstLineChars="343"/>
        <w:rPr>
          <w:b/>
          <w:sz w:val="21"/>
          <w:szCs w:val="21"/>
          <w:u w:val="single"/>
        </w:rPr>
      </w:pPr>
      <w:r>
        <w:rPr>
          <w:rFonts w:hint="eastAsia" w:ascii="宋体" w:hAnsi="宋体"/>
          <w:b/>
          <w:kern w:val="0"/>
          <w:sz w:val="20"/>
          <w:szCs w:val="20"/>
        </w:rPr>
        <w:drawing>
          <wp:anchor distT="0" distB="0" distL="114300" distR="114300" simplePos="0" relativeHeight="251665408" behindDoc="0" locked="0" layoutInCell="1" allowOverlap="1">
            <wp:simplePos x="0" y="0"/>
            <wp:positionH relativeFrom="column">
              <wp:posOffset>1214755</wp:posOffset>
            </wp:positionH>
            <wp:positionV relativeFrom="paragraph">
              <wp:posOffset>3810</wp:posOffset>
            </wp:positionV>
            <wp:extent cx="865505" cy="521335"/>
            <wp:effectExtent l="0" t="0" r="10795" b="12065"/>
            <wp:wrapNone/>
            <wp:docPr id="2"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65505" cy="521335"/>
                    </a:xfrm>
                    <a:prstGeom prst="rect">
                      <a:avLst/>
                    </a:prstGeom>
                    <a:noFill/>
                    <a:ln>
                      <a:noFill/>
                    </a:ln>
                  </pic:spPr>
                </pic:pic>
              </a:graphicData>
            </a:graphic>
          </wp:anchor>
        </w:drawing>
      </w:r>
      <w:r>
        <w:rPr>
          <w:rFonts w:hint="eastAsia"/>
          <w:b/>
          <w:sz w:val="21"/>
          <w:szCs w:val="21"/>
        </w:rPr>
        <w:t>组长签字：</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D81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黑体" w:eastAsia="黑体"/>
      <w:b/>
      <w:sz w:val="84"/>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lenovo1018</cp:lastModifiedBy>
  <cp:lastPrinted>2019-04-18T08:15:00Z</cp:lastPrinted>
  <dcterms:modified xsi:type="dcterms:W3CDTF">2021-07-15T01:23:38Z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