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right"/>
        <w:rPr>
          <w:color w:val="000000"/>
        </w:rPr>
      </w:pPr>
      <w:r>
        <w:rPr>
          <w:rFonts w:hint="eastAsia" w:ascii="楷体" w:hAnsi="楷体" w:eastAsia="楷体"/>
          <w:color w:val="000000"/>
          <w:sz w:val="28"/>
          <w:szCs w:val="28"/>
        </w:rPr>
        <w:t>合同编号：</w:t>
      </w:r>
      <w:bookmarkStart w:id="0" w:name="合同编号"/>
      <w:r>
        <w:rPr>
          <w:rFonts w:hint="eastAsia" w:ascii="楷体" w:hAnsi="楷体" w:eastAsia="楷体" w:cs="Times New Roman"/>
          <w:color w:val="000000"/>
          <w:sz w:val="28"/>
          <w:szCs w:val="28"/>
        </w:rPr>
        <w:t>0722-2021-EO</w:t>
      </w:r>
      <w:bookmarkEnd w:id="0"/>
    </w:p>
    <w:p>
      <w:pPr>
        <w:snapToGrid w:val="0"/>
        <w:spacing w:afterLines="30"/>
        <w:jc w:val="center"/>
        <w:rPr>
          <w:rFonts w:ascii="楷体" w:hAnsi="楷体" w:eastAsia="楷体"/>
          <w:b/>
          <w:color w:val="000000" w:themeColor="text1"/>
          <w:sz w:val="28"/>
          <w:szCs w:val="28"/>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bCs/>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楷体" w:hAnsi="楷体" w:eastAsia="楷体"/>
          <w:b/>
          <w:color w:val="000000"/>
          <w:sz w:val="32"/>
          <w:szCs w:val="32"/>
          <w:u w:val="single"/>
          <w:lang w:eastAsia="zh-CN"/>
        </w:rPr>
        <w:t>河北海通金属丝网制品有限公司</w:t>
      </w: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rPr>
          <w:rStyle w:val="11"/>
          <w:rFonts w:hint="eastAsia" w:ascii="楷体" w:hAnsi="楷体" w:eastAsia="楷体"/>
          <w:b/>
          <w:sz w:val="36"/>
          <w:szCs w:val="36"/>
        </w:rP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1094"/>
        <w:gridCol w:w="1114"/>
        <w:gridCol w:w="2613"/>
        <w:gridCol w:w="726"/>
        <w:gridCol w:w="831"/>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7"/>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694" w:type="dxa"/>
            <w:gridSpan w:val="5"/>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831"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968" w:type="dxa"/>
            <w:gridSpan w:val="4"/>
            <w:vAlign w:val="center"/>
          </w:tcPr>
          <w:p>
            <w:pPr>
              <w:rPr>
                <w:b/>
                <w:color w:val="000000" w:themeColor="text1"/>
                <w:sz w:val="20"/>
                <w:szCs w:val="20"/>
              </w:rPr>
            </w:pPr>
            <w:r>
              <w:rPr>
                <w:rFonts w:hint="eastAsia"/>
                <w:b/>
                <w:color w:val="000000" w:themeColor="text1"/>
                <w:sz w:val="20"/>
                <w:szCs w:val="20"/>
              </w:rPr>
              <w:t>010-51095332</w:t>
            </w:r>
          </w:p>
        </w:tc>
        <w:tc>
          <w:tcPr>
            <w:tcW w:w="726" w:type="dxa"/>
            <w:vAlign w:val="center"/>
          </w:tcPr>
          <w:p>
            <w:pPr>
              <w:rPr>
                <w:b/>
                <w:color w:val="000000" w:themeColor="text1"/>
                <w:sz w:val="20"/>
                <w:szCs w:val="20"/>
              </w:rPr>
            </w:pPr>
            <w:r>
              <w:rPr>
                <w:rFonts w:hint="eastAsia"/>
                <w:b/>
                <w:color w:val="000000" w:themeColor="text1"/>
                <w:sz w:val="20"/>
                <w:szCs w:val="20"/>
              </w:rPr>
              <w:t>邮箱</w:t>
            </w:r>
          </w:p>
        </w:tc>
        <w:tc>
          <w:tcPr>
            <w:tcW w:w="2472" w:type="dxa"/>
            <w:gridSpan w:val="2"/>
            <w:vAlign w:val="center"/>
          </w:tcPr>
          <w:p>
            <w:pPr>
              <w:rPr>
                <w:b/>
                <w:color w:val="000000" w:themeColor="text1"/>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8"/>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844" w:type="dxa"/>
            <w:gridSpan w:val="2"/>
            <w:vAlign w:val="center"/>
          </w:tcPr>
          <w:p>
            <w:pPr>
              <w:spacing w:line="240" w:lineRule="exact"/>
              <w:jc w:val="center"/>
              <w:rPr>
                <w:b/>
                <w:bCs/>
                <w:color w:val="000000" w:themeColor="text1"/>
                <w:sz w:val="21"/>
                <w:szCs w:val="21"/>
              </w:rPr>
            </w:pPr>
            <w:r>
              <w:rPr>
                <w:rFonts w:hint="eastAsia"/>
                <w:b/>
                <w:bCs/>
                <w:sz w:val="21"/>
                <w:szCs w:val="21"/>
              </w:rPr>
              <w:t>姓名</w:t>
            </w:r>
          </w:p>
        </w:tc>
        <w:tc>
          <w:tcPr>
            <w:tcW w:w="1094" w:type="dxa"/>
            <w:vAlign w:val="center"/>
          </w:tcPr>
          <w:p>
            <w:pPr>
              <w:spacing w:line="240" w:lineRule="exact"/>
              <w:jc w:val="center"/>
              <w:rPr>
                <w:b/>
                <w:bCs/>
                <w:color w:val="000000" w:themeColor="text1"/>
                <w:sz w:val="21"/>
                <w:szCs w:val="21"/>
              </w:rPr>
            </w:pPr>
            <w:r>
              <w:rPr>
                <w:rFonts w:hint="eastAsia"/>
                <w:b/>
                <w:bCs/>
                <w:sz w:val="21"/>
                <w:szCs w:val="21"/>
              </w:rPr>
              <w:t>组内身份</w:t>
            </w:r>
          </w:p>
        </w:tc>
        <w:tc>
          <w:tcPr>
            <w:tcW w:w="1114" w:type="dxa"/>
            <w:vAlign w:val="center"/>
          </w:tcPr>
          <w:p>
            <w:pPr>
              <w:spacing w:line="240" w:lineRule="exact"/>
              <w:jc w:val="center"/>
              <w:rPr>
                <w:b/>
                <w:bCs/>
                <w:color w:val="000000" w:themeColor="text1"/>
                <w:sz w:val="21"/>
                <w:szCs w:val="21"/>
              </w:rPr>
            </w:pPr>
            <w:r>
              <w:rPr>
                <w:rFonts w:hint="eastAsia"/>
                <w:b/>
                <w:bCs/>
                <w:sz w:val="21"/>
                <w:szCs w:val="21"/>
              </w:rPr>
              <w:t>性别</w:t>
            </w:r>
          </w:p>
        </w:tc>
        <w:tc>
          <w:tcPr>
            <w:tcW w:w="3339" w:type="dxa"/>
            <w:gridSpan w:val="2"/>
            <w:vAlign w:val="center"/>
          </w:tcPr>
          <w:p>
            <w:pPr>
              <w:spacing w:line="240" w:lineRule="exact"/>
              <w:jc w:val="center"/>
              <w:rPr>
                <w:b/>
                <w:bCs/>
                <w:color w:val="000000" w:themeColor="text1"/>
                <w:sz w:val="21"/>
                <w:szCs w:val="21"/>
              </w:rPr>
            </w:pPr>
            <w:r>
              <w:rPr>
                <w:rFonts w:hint="eastAsia"/>
                <w:b/>
                <w:bCs/>
                <w:sz w:val="21"/>
                <w:szCs w:val="21"/>
              </w:rPr>
              <w:t>注册资格</w:t>
            </w:r>
          </w:p>
        </w:tc>
        <w:tc>
          <w:tcPr>
            <w:tcW w:w="2472" w:type="dxa"/>
            <w:gridSpan w:val="2"/>
            <w:vAlign w:val="center"/>
          </w:tcPr>
          <w:p>
            <w:pPr>
              <w:spacing w:line="240" w:lineRule="exact"/>
              <w:jc w:val="center"/>
              <w:rPr>
                <w:b/>
                <w:bCs/>
                <w:color w:val="000000" w:themeColor="text1"/>
                <w:sz w:val="21"/>
                <w:szCs w:val="21"/>
              </w:rPr>
            </w:pPr>
            <w:r>
              <w:rPr>
                <w:rFonts w:hint="eastAsia"/>
                <w:b/>
                <w:bCs/>
                <w:sz w:val="21"/>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吉洁</w:t>
            </w:r>
          </w:p>
        </w:tc>
        <w:tc>
          <w:tcPr>
            <w:tcW w:w="1094" w:type="dxa"/>
            <w:vAlign w:val="center"/>
          </w:tcPr>
          <w:p>
            <w:pPr>
              <w:spacing w:line="240" w:lineRule="exact"/>
              <w:jc w:val="center"/>
              <w:rPr>
                <w:rFonts w:ascii="Times New Roman" w:hAnsi="Times New Roman" w:eastAsia="宋体" w:cs="Times New Roman"/>
                <w:kern w:val="2"/>
                <w:sz w:val="18"/>
                <w:szCs w:val="18"/>
                <w:lang w:val="en-US" w:eastAsia="zh-CN" w:bidi="ar-SA"/>
              </w:rPr>
            </w:pPr>
            <w:r>
              <w:rPr>
                <w:sz w:val="18"/>
                <w:szCs w:val="18"/>
              </w:rPr>
              <w:t>组长</w:t>
            </w:r>
          </w:p>
        </w:tc>
        <w:tc>
          <w:tcPr>
            <w:tcW w:w="1114" w:type="dxa"/>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女</w:t>
            </w:r>
          </w:p>
        </w:tc>
        <w:tc>
          <w:tcPr>
            <w:tcW w:w="3339" w:type="dxa"/>
            <w:gridSpan w:val="2"/>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O:审核员</w:t>
            </w:r>
          </w:p>
        </w:tc>
        <w:tc>
          <w:tcPr>
            <w:tcW w:w="2472" w:type="dxa"/>
            <w:gridSpan w:val="2"/>
            <w:vAlign w:val="center"/>
          </w:tcPr>
          <w:p>
            <w:pPr>
              <w:spacing w:line="240" w:lineRule="exact"/>
              <w:jc w:val="center"/>
              <w:rPr>
                <w:b/>
                <w:color w:val="000000"/>
                <w:sz w:val="20"/>
                <w:szCs w:val="20"/>
              </w:rPr>
            </w:pPr>
            <w:r>
              <w:rPr>
                <w:b/>
                <w:color w:val="000000"/>
                <w:sz w:val="20"/>
                <w:szCs w:val="20"/>
              </w:rPr>
              <w:t>E:17.12.03</w:t>
            </w:r>
          </w:p>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O:17.12.03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张星</w:t>
            </w:r>
          </w:p>
        </w:tc>
        <w:tc>
          <w:tcPr>
            <w:tcW w:w="1094"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sz w:val="18"/>
                <w:szCs w:val="18"/>
              </w:rPr>
              <w:t>组员</w:t>
            </w:r>
          </w:p>
        </w:tc>
        <w:tc>
          <w:tcPr>
            <w:tcW w:w="1114" w:type="dxa"/>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女</w:t>
            </w:r>
          </w:p>
        </w:tc>
        <w:tc>
          <w:tcPr>
            <w:tcW w:w="3339" w:type="dxa"/>
            <w:gridSpan w:val="2"/>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E:审核员</w:t>
            </w:r>
          </w:p>
        </w:tc>
        <w:tc>
          <w:tcPr>
            <w:tcW w:w="2472"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E:17.12.03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8"/>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1094" w:type="dxa"/>
            <w:vAlign w:val="center"/>
          </w:tcPr>
          <w:p>
            <w:pPr>
              <w:jc w:val="center"/>
              <w:rPr>
                <w:b/>
                <w:color w:val="000000" w:themeColor="text1"/>
                <w:sz w:val="20"/>
                <w:szCs w:val="20"/>
              </w:rPr>
            </w:pPr>
            <w:r>
              <w:rPr>
                <w:rFonts w:hint="eastAsia"/>
                <w:b/>
                <w:color w:val="000000" w:themeColor="text1"/>
                <w:sz w:val="20"/>
                <w:szCs w:val="20"/>
              </w:rPr>
              <w:t>性别</w:t>
            </w:r>
          </w:p>
        </w:tc>
        <w:tc>
          <w:tcPr>
            <w:tcW w:w="1114" w:type="dxa"/>
            <w:vAlign w:val="center"/>
          </w:tcPr>
          <w:p>
            <w:pPr>
              <w:jc w:val="center"/>
              <w:rPr>
                <w:b/>
                <w:color w:val="000000" w:themeColor="text1"/>
                <w:sz w:val="20"/>
                <w:szCs w:val="20"/>
              </w:rPr>
            </w:pPr>
            <w:r>
              <w:rPr>
                <w:rFonts w:hint="eastAsia"/>
                <w:b/>
                <w:color w:val="000000" w:themeColor="text1"/>
                <w:sz w:val="20"/>
                <w:szCs w:val="20"/>
              </w:rPr>
              <w:t>角色</w:t>
            </w:r>
          </w:p>
        </w:tc>
        <w:tc>
          <w:tcPr>
            <w:tcW w:w="3339" w:type="dxa"/>
            <w:gridSpan w:val="2"/>
            <w:vAlign w:val="center"/>
          </w:tcPr>
          <w:p>
            <w:pPr>
              <w:jc w:val="center"/>
              <w:rPr>
                <w:b/>
                <w:color w:val="000000" w:themeColor="text1"/>
                <w:sz w:val="20"/>
                <w:szCs w:val="20"/>
              </w:rPr>
            </w:pPr>
            <w:r>
              <w:rPr>
                <w:rFonts w:hint="eastAsia"/>
                <w:b/>
                <w:color w:val="000000" w:themeColor="text1"/>
                <w:sz w:val="20"/>
                <w:szCs w:val="20"/>
              </w:rPr>
              <w:t>工作单位</w:t>
            </w:r>
          </w:p>
        </w:tc>
        <w:tc>
          <w:tcPr>
            <w:tcW w:w="2472" w:type="dxa"/>
            <w:gridSpan w:val="2"/>
            <w:vAlign w:val="center"/>
          </w:tcPr>
          <w:p>
            <w:pPr>
              <w:jc w:val="cente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val="0"/>
                <w:bCs/>
                <w:color w:val="000000" w:themeColor="text1"/>
                <w:lang w:val="en-US" w:eastAsia="zh-CN"/>
              </w:rPr>
            </w:pPr>
            <w:r>
              <w:rPr>
                <w:rFonts w:hint="eastAsia"/>
                <w:b w:val="0"/>
                <w:bCs/>
                <w:color w:val="000000" w:themeColor="text1"/>
                <w:lang w:val="en-US" w:eastAsia="zh-CN"/>
              </w:rPr>
              <w:t>/</w:t>
            </w:r>
          </w:p>
        </w:tc>
        <w:tc>
          <w:tcPr>
            <w:tcW w:w="1094" w:type="dxa"/>
            <w:vAlign w:val="center"/>
          </w:tcPr>
          <w:p>
            <w:pPr>
              <w:jc w:val="center"/>
              <w:rPr>
                <w:b w:val="0"/>
                <w:bCs/>
                <w:color w:val="000000" w:themeColor="text1"/>
              </w:rPr>
            </w:pPr>
          </w:p>
        </w:tc>
        <w:tc>
          <w:tcPr>
            <w:tcW w:w="1114" w:type="dxa"/>
            <w:vAlign w:val="center"/>
          </w:tcPr>
          <w:p>
            <w:pPr>
              <w:jc w:val="center"/>
              <w:rPr>
                <w:b w:val="0"/>
                <w:bCs/>
                <w:color w:val="000000" w:themeColor="text1"/>
              </w:rPr>
            </w:pPr>
          </w:p>
        </w:tc>
        <w:tc>
          <w:tcPr>
            <w:tcW w:w="3339" w:type="dxa"/>
            <w:gridSpan w:val="2"/>
            <w:vAlign w:val="center"/>
          </w:tcPr>
          <w:p>
            <w:pPr>
              <w:rPr>
                <w:rFonts w:hint="eastAsia" w:eastAsia="宋体"/>
                <w:b w:val="0"/>
                <w:bCs/>
                <w:color w:val="000000" w:themeColor="text1"/>
                <w:lang w:eastAsia="zh-CN"/>
              </w:rPr>
            </w:pPr>
          </w:p>
        </w:tc>
        <w:tc>
          <w:tcPr>
            <w:tcW w:w="2472"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19001:2016 idt ISO 9001:2015标准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rPr>
        <w:t xml:space="preserve"> idt 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1676"/>
        <w:gridCol w:w="1080"/>
        <w:gridCol w:w="282"/>
        <w:gridCol w:w="1382"/>
        <w:gridCol w:w="739"/>
        <w:gridCol w:w="541"/>
        <w:gridCol w:w="1016"/>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863"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420" w:type="dxa"/>
            <w:gridSpan w:val="4"/>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z w:val="20"/>
                <w:szCs w:val="20"/>
                <w:lang w:eastAsia="zh-CN"/>
              </w:rPr>
            </w:pPr>
            <w:r>
              <w:rPr>
                <w:rFonts w:hint="eastAsia" w:ascii="宋体" w:hAnsi="宋体"/>
                <w:sz w:val="21"/>
                <w:szCs w:val="21"/>
                <w:lang w:eastAsia="zh-CN"/>
              </w:rPr>
              <w:t>河北海通金属丝网制品有限公司</w:t>
            </w:r>
          </w:p>
        </w:tc>
        <w:tc>
          <w:tcPr>
            <w:tcW w:w="1280" w:type="dxa"/>
            <w:gridSpan w:val="2"/>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313" w:type="dxa"/>
            <w:gridSpan w:val="2"/>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5700" w:type="dxa"/>
            <w:gridSpan w:val="6"/>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饶阳县王同岳乡马长屯村创业路20号</w:t>
            </w:r>
          </w:p>
        </w:tc>
        <w:tc>
          <w:tcPr>
            <w:tcW w:w="1016"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邮编</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color w:val="000000" w:themeColor="text1"/>
                <w:sz w:val="20"/>
                <w:szCs w:val="20"/>
              </w:rPr>
            </w:pPr>
          </w:p>
        </w:tc>
        <w:tc>
          <w:tcPr>
            <w:tcW w:w="129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053900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经营地址</w:t>
            </w:r>
          </w:p>
        </w:tc>
        <w:tc>
          <w:tcPr>
            <w:tcW w:w="5700" w:type="dxa"/>
            <w:gridSpan w:val="6"/>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饶阳县王同岳乡马长屯村创业路20号</w:t>
            </w:r>
          </w:p>
        </w:tc>
        <w:tc>
          <w:tcPr>
            <w:tcW w:w="1016"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color w:val="000000" w:themeColor="text1"/>
                <w:sz w:val="20"/>
                <w:szCs w:val="20"/>
              </w:rPr>
            </w:pPr>
          </w:p>
        </w:tc>
        <w:tc>
          <w:tcPr>
            <w:tcW w:w="129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053900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生产地址</w:t>
            </w:r>
          </w:p>
        </w:tc>
        <w:tc>
          <w:tcPr>
            <w:tcW w:w="5700" w:type="dxa"/>
            <w:gridSpan w:val="6"/>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饶阳县王同岳乡马长屯村创业路20号</w:t>
            </w:r>
          </w:p>
        </w:tc>
        <w:tc>
          <w:tcPr>
            <w:tcW w:w="1016"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p>
        </w:tc>
        <w:tc>
          <w:tcPr>
            <w:tcW w:w="129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053900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1676"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乔璐璐</w:t>
            </w:r>
          </w:p>
        </w:tc>
        <w:tc>
          <w:tcPr>
            <w:tcW w:w="1362"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电话</w:t>
            </w:r>
          </w:p>
        </w:tc>
        <w:tc>
          <w:tcPr>
            <w:tcW w:w="1382"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15531889585</w:t>
            </w:r>
          </w:p>
        </w:tc>
        <w:tc>
          <w:tcPr>
            <w:tcW w:w="1280"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传真</w:t>
            </w:r>
          </w:p>
        </w:tc>
        <w:tc>
          <w:tcPr>
            <w:tcW w:w="2313"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1676"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何云闪</w:t>
            </w:r>
          </w:p>
        </w:tc>
        <w:tc>
          <w:tcPr>
            <w:tcW w:w="1362"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管理者代表</w:t>
            </w:r>
          </w:p>
        </w:tc>
        <w:tc>
          <w:tcPr>
            <w:tcW w:w="1382"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乔璐璐</w:t>
            </w:r>
          </w:p>
        </w:tc>
        <w:tc>
          <w:tcPr>
            <w:tcW w:w="1280"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rFonts w:hint="eastAsia" w:ascii="宋体"/>
                <w:b/>
                <w:color w:val="000000"/>
                <w:sz w:val="20"/>
                <w:szCs w:val="20"/>
              </w:rPr>
              <w:t>邮箱</w:t>
            </w:r>
          </w:p>
        </w:tc>
        <w:tc>
          <w:tcPr>
            <w:tcW w:w="2313"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Times New Roman" w:eastAsia="宋体" w:cs="Times New Roman"/>
                <w:b/>
                <w:color w:val="000000"/>
                <w:kern w:val="2"/>
                <w:sz w:val="20"/>
                <w:szCs w:val="20"/>
                <w:lang w:val="en-US" w:eastAsia="zh-CN" w:bidi="ar-SA"/>
              </w:rPr>
            </w:pPr>
            <w:r>
              <w:rPr>
                <w:rFonts w:ascii="宋体"/>
                <w:b w:val="0"/>
                <w:bCs/>
                <w:color w:val="000000"/>
                <w:sz w:val="20"/>
                <w:szCs w:val="20"/>
              </w:rPr>
              <w:t>1123263779@qq.com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申请的产品/</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8013" w:type="dxa"/>
            <w:gridSpan w:val="8"/>
          </w:tcPr>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000000"/>
                <w:szCs w:val="21"/>
              </w:rPr>
            </w:pPr>
            <w:bookmarkStart w:id="1" w:name="审核范围"/>
            <w:r>
              <w:rPr>
                <w:rFonts w:hint="eastAsia" w:ascii="宋体" w:hAnsi="宋体"/>
                <w:szCs w:val="21"/>
              </w:rPr>
              <w:t>E：隔离栅、防眩网、防眩板、声屏障的生产及销售所涉及场所的相关环境管理活动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u w:val="single"/>
                <w:lang w:val="en-GB"/>
              </w:rPr>
            </w:pPr>
            <w:r>
              <w:rPr>
                <w:rFonts w:hint="eastAsia" w:ascii="宋体" w:hAnsi="宋体"/>
                <w:szCs w:val="21"/>
              </w:rPr>
              <w:t>O：隔离栅、防眩网、防眩板、声屏障的生产及销售所涉及场所的相关职业健康安全管理活动</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8013" w:type="dxa"/>
            <w:gridSpan w:val="8"/>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bookmarkStart w:id="2" w:name="专业代码"/>
            <w:r>
              <w:rPr>
                <w:rFonts w:ascii="宋体"/>
                <w:b/>
                <w:color w:val="000000"/>
                <w:sz w:val="20"/>
                <w:szCs w:val="20"/>
              </w:rPr>
              <w:t>E：17.12.03</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ascii="宋体"/>
                <w:b/>
                <w:color w:val="000000"/>
                <w:sz w:val="20"/>
                <w:szCs w:val="20"/>
              </w:rPr>
              <w:t>O：17.12.03</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b/>
                <w:color w:val="000000" w:themeColor="text1"/>
                <w:sz w:val="20"/>
                <w:szCs w:val="20"/>
              </w:rPr>
            </w:pPr>
            <w:r>
              <w:rPr>
                <w:rFonts w:hint="eastAsia" w:ascii="宋体" w:hAnsi="宋体"/>
                <w:b/>
                <w:color w:val="000000" w:themeColor="text1"/>
                <w:sz w:val="20"/>
                <w:szCs w:val="20"/>
              </w:rPr>
              <w:t>是否是一体化审核</w:t>
            </w:r>
          </w:p>
        </w:tc>
        <w:tc>
          <w:tcPr>
            <w:tcW w:w="8013" w:type="dxa"/>
            <w:gridSpan w:val="8"/>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lang w:eastAsia="zh-CN"/>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56"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宋体" w:eastAsia="宋体"/>
                <w:b/>
                <w:color w:val="000000" w:themeColor="text1"/>
                <w:sz w:val="20"/>
                <w:szCs w:val="20"/>
                <w:lang w:val="en-US" w:eastAsia="zh-CN"/>
              </w:rPr>
            </w:pPr>
            <w:r>
              <w:rPr>
                <w:rFonts w:hint="eastAsia" w:ascii="宋体"/>
                <w:b/>
                <w:color w:val="000000"/>
                <w:sz w:val="20"/>
                <w:szCs w:val="20"/>
                <w:lang w:val="en-US" w:eastAsia="zh-CN"/>
              </w:rPr>
              <w:t>2021年3月10日</w:t>
            </w:r>
          </w:p>
        </w:tc>
        <w:tc>
          <w:tcPr>
            <w:tcW w:w="2403"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8013" w:type="dxa"/>
            <w:gridSpan w:val="8"/>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val="en-US" w:eastAsia="zh-CN"/>
              </w:rPr>
              <w:t>无</w:t>
            </w:r>
          </w:p>
        </w:tc>
      </w:tr>
    </w:tbl>
    <w:p>
      <w:pPr>
        <w:ind w:left="-1" w:leftChars="-337" w:hanging="707" w:hangingChars="271"/>
        <w:rPr>
          <w:rFonts w:hint="eastAsia" w:ascii="宋体" w:hAnsi="宋体" w:eastAsia="宋体"/>
          <w:b/>
          <w:color w:val="000000" w:themeColor="text1"/>
          <w:sz w:val="16"/>
          <w:szCs w:val="16"/>
          <w:lang w:eastAsia="zh-CN"/>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sz w:val="21"/>
                <w:szCs w:val="21"/>
              </w:rPr>
              <w:t>管理层</w:t>
            </w:r>
          </w:p>
        </w:tc>
        <w:tc>
          <w:tcPr>
            <w:tcW w:w="796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b/>
                <w:color w:val="000000" w:themeColor="text1"/>
                <w:spacing w:val="-20"/>
                <w:sz w:val="20"/>
                <w:szCs w:val="20"/>
                <w:u w:val="single"/>
                <w:lang w:val="en-US" w:eastAsia="zh-CN"/>
              </w:rPr>
            </w:pPr>
            <w:r>
              <w:rPr>
                <w:rFonts w:hint="default" w:ascii="Times New Roman" w:hAnsi="Times New Roman" w:eastAsia="宋体" w:cs="Times New Roman"/>
                <w:b w:val="0"/>
                <w:bCs/>
                <w:sz w:val="21"/>
                <w:szCs w:val="21"/>
                <w:lang w:val="en-US" w:eastAsia="zh-CN"/>
              </w:rPr>
              <w:t>EO</w:t>
            </w:r>
            <w:r>
              <w:rPr>
                <w:rFonts w:hint="default" w:ascii="Times New Roman" w:hAnsi="Times New Roman" w:eastAsia="宋体" w:cs="Times New Roman"/>
                <w:b w:val="0"/>
                <w:bCs/>
                <w:sz w:val="21"/>
                <w:szCs w:val="21"/>
              </w:rPr>
              <w:t>4.1/4.2/4.3/4.4/5.1/5.2/5.3/6.1/6.2/7.1/9.1.1/9.3/10.1/10.3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eastAsia="zh-CN"/>
              </w:rPr>
            </w:pPr>
            <w:r>
              <w:rPr>
                <w:rFonts w:hint="eastAsia"/>
                <w:sz w:val="21"/>
                <w:szCs w:val="21"/>
                <w:lang w:val="en-US" w:eastAsia="zh-CN"/>
              </w:rPr>
              <w:t>办公室</w:t>
            </w:r>
          </w:p>
        </w:tc>
        <w:tc>
          <w:tcPr>
            <w:tcW w:w="796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b/>
                <w:color w:val="000000" w:themeColor="text1"/>
                <w:spacing w:val="-20"/>
                <w:sz w:val="20"/>
                <w:szCs w:val="20"/>
                <w:u w:val="single"/>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w:t>
            </w:r>
            <w:r>
              <w:rPr>
                <w:rFonts w:hint="eastAsia" w:cs="Times New Roman"/>
                <w:sz w:val="21"/>
                <w:szCs w:val="21"/>
                <w:lang w:val="en-US" w:eastAsia="zh-CN"/>
              </w:rPr>
              <w:t>6.1.3/</w:t>
            </w:r>
            <w:r>
              <w:rPr>
                <w:rFonts w:hint="default" w:ascii="Times New Roman" w:hAnsi="Times New Roman" w:eastAsia="宋体" w:cs="Times New Roman"/>
                <w:sz w:val="21"/>
                <w:szCs w:val="21"/>
              </w:rPr>
              <w:t>7.2/7.3/7.4</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7.5/8.1/8.2/9.1/9.2/10.2</w:t>
            </w:r>
            <w:r>
              <w:rPr>
                <w:rFonts w:hint="eastAsia" w:cs="Times New Roman"/>
                <w:sz w:val="21"/>
                <w:szCs w:val="21"/>
                <w:lang w:eastAsia="zh-CN"/>
              </w:rPr>
              <w:t>；</w:t>
            </w:r>
            <w:r>
              <w:rPr>
                <w:rFonts w:hint="eastAsia" w:cs="Times New Roman"/>
                <w:sz w:val="21"/>
                <w:szCs w:val="21"/>
                <w:lang w:val="en-US" w:eastAsia="zh-CN"/>
              </w:rPr>
              <w:t>O5.4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sz w:val="21"/>
                <w:szCs w:val="21"/>
                <w:lang w:val="en-US" w:eastAsia="zh-CN"/>
              </w:rPr>
              <w:t>生产技术部</w:t>
            </w:r>
          </w:p>
        </w:tc>
        <w:tc>
          <w:tcPr>
            <w:tcW w:w="796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b/>
                <w:color w:val="000000" w:themeColor="text1"/>
                <w:spacing w:val="-20"/>
                <w:sz w:val="20"/>
                <w:szCs w:val="20"/>
                <w:u w:val="single"/>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9"/>
        <w:tblW w:w="9901" w:type="dxa"/>
        <w:tblInd w:w="-7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7"/>
        <w:gridCol w:w="1643"/>
        <w:gridCol w:w="627"/>
        <w:gridCol w:w="4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产品名称/服务名称</w:t>
            </w:r>
          </w:p>
        </w:tc>
        <w:tc>
          <w:tcPr>
            <w:tcW w:w="1643"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型号/服务类型</w:t>
            </w:r>
          </w:p>
        </w:tc>
        <w:tc>
          <w:tcPr>
            <w:tcW w:w="6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规格</w:t>
            </w:r>
          </w:p>
        </w:tc>
        <w:tc>
          <w:tcPr>
            <w:tcW w:w="407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val="0"/>
                <w:bCs w:val="0"/>
                <w:color w:val="000000" w:themeColor="text1"/>
                <w:sz w:val="21"/>
                <w:szCs w:val="21"/>
                <w:lang w:eastAsia="zh-CN"/>
              </w:rPr>
            </w:pPr>
            <w:r>
              <w:rPr>
                <w:rFonts w:hint="eastAsia" w:ascii="宋体" w:hAnsi="宋体"/>
                <w:szCs w:val="21"/>
              </w:rPr>
              <w:t>隔离栅、防眩网、防眩板、声屏障的生产及销售</w:t>
            </w:r>
          </w:p>
        </w:tc>
        <w:tc>
          <w:tcPr>
            <w:tcW w:w="1643"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val="0"/>
                <w:bCs w:val="0"/>
                <w:color w:val="000000" w:themeColor="text1"/>
                <w:sz w:val="21"/>
                <w:szCs w:val="21"/>
                <w:lang w:val="en-US" w:eastAsia="zh-CN"/>
              </w:rPr>
            </w:pPr>
            <w:r>
              <w:rPr>
                <w:rFonts w:hint="eastAsia"/>
                <w:b w:val="0"/>
                <w:bCs w:val="0"/>
                <w:color w:val="000000" w:themeColor="text1"/>
                <w:sz w:val="21"/>
                <w:szCs w:val="21"/>
                <w:lang w:val="en-US" w:eastAsia="zh-CN"/>
              </w:rPr>
              <w:t>/</w:t>
            </w:r>
          </w:p>
        </w:tc>
        <w:tc>
          <w:tcPr>
            <w:tcW w:w="627"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val="0"/>
                <w:bCs w:val="0"/>
                <w:color w:val="000000" w:themeColor="text1"/>
                <w:sz w:val="21"/>
                <w:szCs w:val="21"/>
                <w:lang w:val="en-US" w:eastAsia="zh-CN"/>
              </w:rPr>
            </w:pPr>
            <w:r>
              <w:rPr>
                <w:rFonts w:hint="eastAsia"/>
                <w:b w:val="0"/>
                <w:bCs w:val="0"/>
                <w:color w:val="000000" w:themeColor="text1"/>
                <w:sz w:val="21"/>
                <w:szCs w:val="21"/>
                <w:lang w:val="en-US" w:eastAsia="zh-CN"/>
              </w:rPr>
              <w:t>/</w:t>
            </w:r>
          </w:p>
        </w:tc>
        <w:tc>
          <w:tcPr>
            <w:tcW w:w="407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val="0"/>
                <w:bCs w:val="0"/>
                <w:color w:val="000000" w:themeColor="text1"/>
                <w:sz w:val="21"/>
                <w:szCs w:val="21"/>
                <w:lang w:val="en-US" w:eastAsia="zh-CN"/>
              </w:rPr>
            </w:pPr>
            <w:r>
              <w:rPr>
                <w:rFonts w:hint="eastAsia"/>
                <w:b w:val="0"/>
                <w:bCs w:val="0"/>
                <w:color w:val="000000" w:themeColor="text1"/>
                <w:sz w:val="21"/>
                <w:szCs w:val="21"/>
                <w:lang w:val="en-US" w:eastAsia="zh-CN"/>
              </w:rPr>
              <w:t>/</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bookmarkStart w:id="3"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3"/>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18</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rPr>
              <w:t>公司确定了与质量</w:t>
            </w:r>
            <w:r>
              <w:rPr>
                <w:rFonts w:hint="eastAsia"/>
                <w:lang w:eastAsia="zh-CN"/>
              </w:rPr>
              <w:t>环境职业健康安全</w:t>
            </w:r>
            <w:r>
              <w:rPr>
                <w:rFonts w:hint="eastAsia"/>
              </w:rPr>
              <w:t>管理体系有关的相关方包括顾客、政府机构、社区、股东、供应商、内部员工等。相关方对企业的要求有：遵守国家的现行法律法规、保持有效的资质、</w:t>
            </w:r>
            <w:r>
              <w:rPr>
                <w:rFonts w:hint="eastAsia"/>
                <w:lang w:val="en-US" w:eastAsia="zh-CN"/>
              </w:rPr>
              <w:t>办公服务过程</w:t>
            </w:r>
            <w:r>
              <w:rPr>
                <w:rFonts w:hint="eastAsia"/>
              </w:rPr>
              <w:t>节能环保，对环境无重大污染、</w:t>
            </w:r>
            <w:r>
              <w:rPr>
                <w:rFonts w:hint="eastAsia"/>
                <w:lang w:val="en-US" w:eastAsia="zh-CN"/>
              </w:rPr>
              <w:t>对员工进行体检</w:t>
            </w:r>
            <w:r>
              <w:rPr>
                <w:rFonts w:hint="eastAsia"/>
              </w:rPr>
              <w:t>、不断提高技术水平以及不断提高客户满意度等。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eastAsia="zh-CN"/>
              </w:rPr>
              <w:t>质量</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keepNext w:val="0"/>
              <w:keepLines w:val="0"/>
              <w:pageBreakBefore w:val="0"/>
              <w:kinsoku/>
              <w:wordWrap/>
              <w:overflowPunct/>
              <w:topLinePunct w:val="0"/>
              <w:bidi w:val="0"/>
              <w:snapToGrid/>
              <w:spacing w:line="360" w:lineRule="exact"/>
              <w:textAlignment w:val="auto"/>
              <w:rPr>
                <w:rFonts w:hint="eastAsia" w:ascii="Times New Roman" w:hAnsi="Times New Roman" w:eastAsia="宋体" w:cs="宋体"/>
                <w:lang w:val="en-US" w:eastAsia="zh-CN"/>
              </w:rPr>
            </w:pPr>
            <w:r>
              <w:t>1.</w:t>
            </w:r>
            <w:r>
              <w:rPr>
                <w:rFonts w:hint="eastAsia" w:cs="宋体"/>
              </w:rPr>
              <w:t>管理方针：</w:t>
            </w:r>
            <w:r>
              <w:rPr>
                <w:rFonts w:hint="eastAsia" w:ascii="Times New Roman" w:hAnsi="Times New Roman" w:eastAsia="宋体" w:cs="宋体"/>
                <w:lang w:val="en-US" w:eastAsia="zh-CN"/>
              </w:rPr>
              <w:t>顾客至上  制造精品  诚信经营  持续改进</w:t>
            </w:r>
            <w:r>
              <w:rPr>
                <w:rFonts w:hint="eastAsia" w:ascii="Times New Roman" w:hAnsi="Times New Roman" w:eastAsia="宋体" w:cs="宋体"/>
              </w:rPr>
              <w:t>；</w:t>
            </w:r>
            <w:r>
              <w:rPr>
                <w:rFonts w:hint="eastAsia" w:ascii="Times New Roman" w:hAnsi="Times New Roman" w:eastAsia="宋体" w:cs="宋体"/>
                <w:lang w:val="en-US" w:eastAsia="zh-CN"/>
              </w:rPr>
              <w:t>节能降耗、保护环境；预防为主、确保安全</w:t>
            </w:r>
            <w:r>
              <w:rPr>
                <w:rFonts w:hint="eastAsia" w:ascii="Times New Roman" w:hAnsi="Times New Roman" w:eastAsia="宋体" w:cs="宋体"/>
              </w:rPr>
              <w:t>。</w:t>
            </w:r>
          </w:p>
          <w:p>
            <w:pPr>
              <w:keepNext w:val="0"/>
              <w:keepLines w:val="0"/>
              <w:pageBreakBefore w:val="0"/>
              <w:kinsoku/>
              <w:wordWrap/>
              <w:overflowPunct/>
              <w:topLinePunct w:val="0"/>
              <w:bidi w:val="0"/>
              <w:snapToGrid/>
              <w:spacing w:line="36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bidi w:val="0"/>
              <w:snapToGrid/>
              <w:spacing w:line="360" w:lineRule="exact"/>
              <w:textAlignment w:val="auto"/>
              <w:rPr>
                <w:b/>
                <w:color w:val="000000" w:themeColor="text1"/>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eastAsia="宋体"/>
                <w:b/>
                <w:color w:val="000000" w:themeColor="text1"/>
                <w:lang w:eastAsia="zh-CN"/>
              </w:rPr>
            </w:pP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分别从顾客需求、公司内部、适用的法律法规等方面</w:t>
            </w:r>
            <w:r>
              <w:rPr>
                <w:rFonts w:hint="eastAsia"/>
              </w:rPr>
              <w:t>识别了必要的风险和机遇，如：方针和目标变更的需求，</w:t>
            </w:r>
            <w:r>
              <w:rPr>
                <w:rFonts w:hint="eastAsia"/>
                <w:lang w:val="en-US" w:eastAsia="zh-CN"/>
              </w:rPr>
              <w:t>顾客需求</w:t>
            </w:r>
            <w:r>
              <w:rPr>
                <w:rFonts w:hint="eastAsia"/>
              </w:rPr>
              <w:t>变更，</w:t>
            </w:r>
            <w:r>
              <w:rPr>
                <w:rFonts w:hint="eastAsia"/>
                <w:lang w:val="en-US" w:eastAsia="zh-CN"/>
              </w:rPr>
              <w:t>服务方式变更</w:t>
            </w:r>
            <w:r>
              <w:rPr>
                <w:rFonts w:hint="eastAsia"/>
                <w:lang w:eastAsia="zh-CN"/>
              </w:rPr>
              <w:t>、</w:t>
            </w:r>
            <w:r>
              <w:rPr>
                <w:rFonts w:hint="eastAsia"/>
                <w:lang w:val="en-US" w:eastAsia="zh-CN"/>
              </w:rPr>
              <w:t>法律法规变更、外部环境（包括空气 水的变化）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如针对</w:t>
            </w:r>
            <w:r>
              <w:rPr>
                <w:rFonts w:hint="eastAsia"/>
                <w:lang w:eastAsia="zh-CN"/>
              </w:rPr>
              <w:t>顾客需求</w:t>
            </w:r>
            <w:r>
              <w:rPr>
                <w:rFonts w:hint="eastAsia"/>
              </w:rPr>
              <w:t>的变更，由</w:t>
            </w:r>
            <w:r>
              <w:rPr>
                <w:rFonts w:hint="eastAsia"/>
                <w:lang w:val="en-US" w:eastAsia="zh-CN"/>
              </w:rPr>
              <w:t>办公室</w:t>
            </w:r>
            <w:r>
              <w:rPr>
                <w:rFonts w:hint="eastAsia"/>
                <w:lang w:eastAsia="zh-CN"/>
              </w:rPr>
              <w:t>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Cs w:val="21"/>
              </w:rPr>
            </w:pPr>
            <w:r>
              <w:rPr>
                <w:rFonts w:hint="eastAsia" w:ascii="宋体" w:hAnsi="宋体"/>
                <w:b/>
                <w:color w:val="000000" w:themeColor="text1"/>
                <w:sz w:val="20"/>
                <w:szCs w:val="20"/>
                <w:lang w:val="en-US" w:eastAsia="zh-CN"/>
              </w:rPr>
              <w:t>不涉及</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pacing w:val="-8"/>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ascii="宋体" w:hAnsi="宋体"/>
                <w:sz w:val="21"/>
                <w:szCs w:val="21"/>
                <w:lang w:val="en-US" w:eastAsia="zh-CN"/>
              </w:rPr>
              <w:t>办公室组织全体部门对所涉及的环境因素进行识别，并评价出重要环境因素，提供环境因素评价记录，目前环境因素识别基本完整，评价的重要环境因素有</w:t>
            </w:r>
            <w:r>
              <w:rPr>
                <w:rFonts w:hint="default" w:ascii="Times New Roman" w:hAnsi="Times New Roman" w:cs="Times New Roman"/>
                <w:sz w:val="21"/>
                <w:szCs w:val="21"/>
                <w:highlight w:val="none"/>
              </w:rPr>
              <w:t>固体废弃物排放、噪声排放、火灾的发生</w:t>
            </w:r>
            <w:r>
              <w:rPr>
                <w:rFonts w:hint="eastAsia" w:cs="Times New Roman"/>
                <w:sz w:val="21"/>
                <w:szCs w:val="21"/>
                <w:highlight w:val="none"/>
                <w:lang w:eastAsia="zh-CN"/>
              </w:rPr>
              <w:t>、</w:t>
            </w:r>
            <w:r>
              <w:rPr>
                <w:rFonts w:hint="eastAsia" w:cs="Times New Roman"/>
                <w:sz w:val="21"/>
                <w:szCs w:val="21"/>
                <w:highlight w:val="none"/>
                <w:lang w:val="en-US" w:eastAsia="zh-CN"/>
              </w:rPr>
              <w:t>废气的排放</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pacing w:val="-8"/>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pacing w:val="-8"/>
                <w:sz w:val="20"/>
                <w:szCs w:val="20"/>
                <w:lang w:eastAsia="zh-CN"/>
              </w:rPr>
            </w:pPr>
            <w:r>
              <w:rPr>
                <w:rFonts w:hint="eastAsia" w:ascii="宋体" w:hAnsi="宋体"/>
                <w:sz w:val="21"/>
                <w:szCs w:val="21"/>
                <w:lang w:val="en-US" w:eastAsia="zh-CN"/>
              </w:rPr>
              <w:t>办公室组织全体部门对所涉及的危险源进行识别，并评价出重大危险源，提供重大危险源评价记录，目前危险源识别基本完整，评价的</w:t>
            </w:r>
            <w:r>
              <w:rPr>
                <w:rFonts w:hint="eastAsia"/>
              </w:rPr>
              <w:t>不可接受风险</w:t>
            </w:r>
            <w:r>
              <w:rPr>
                <w:rFonts w:hint="eastAsia"/>
                <w:lang w:eastAsia="zh-CN"/>
              </w:rPr>
              <w:t>为</w:t>
            </w:r>
            <w:r>
              <w:rPr>
                <w:rFonts w:hint="eastAsia" w:ascii="宋体"/>
                <w:color w:val="000000"/>
                <w:sz w:val="20"/>
                <w:szCs w:val="20"/>
                <w:lang w:eastAsia="zh-CN"/>
              </w:rPr>
              <w:t>潜在火灾、触电、机械伤害、噪声伤害、</w:t>
            </w:r>
            <w:r>
              <w:rPr>
                <w:rFonts w:hint="eastAsia" w:ascii="宋体"/>
                <w:color w:val="000000"/>
                <w:sz w:val="20"/>
                <w:szCs w:val="20"/>
                <w:lang w:val="en-US" w:eastAsia="zh-CN"/>
              </w:rPr>
              <w:t>废气伤害、意外伤害</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2"/>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2"/>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2"/>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2"/>
              <w:keepNext w:val="0"/>
              <w:keepLines w:val="0"/>
              <w:pageBreakBefore w:val="0"/>
              <w:numPr>
                <w:numId w:val="0"/>
              </w:numPr>
              <w:tabs>
                <w:tab w:val="left" w:pos="540"/>
              </w:tabs>
              <w:kinsoku/>
              <w:wordWrap/>
              <w:overflowPunct/>
              <w:topLinePunct w:val="0"/>
              <w:bidi w:val="0"/>
              <w:snapToGrid/>
              <w:spacing w:line="360" w:lineRule="exact"/>
              <w:ind w:leftChars="0"/>
              <w:textAlignment w:val="auto"/>
              <w:rPr>
                <w:b/>
                <w:color w:val="000000" w:themeColor="text1"/>
                <w:sz w:val="14"/>
                <w:szCs w:val="14"/>
              </w:rPr>
            </w:pPr>
            <w:r>
              <w:rPr>
                <w:rFonts w:hint="eastAsia" w:ascii="宋体" w:hAnsi="宋体"/>
                <w:b/>
                <w:color w:val="000000"/>
                <w:szCs w:val="21"/>
                <w:lang w:eastAsia="zh-CN"/>
              </w:rPr>
              <w:t>（</w:t>
            </w:r>
            <w:r>
              <w:rPr>
                <w:rFonts w:hint="eastAsia" w:ascii="宋体" w:hAnsi="宋体"/>
                <w:b/>
                <w:color w:val="000000"/>
                <w:szCs w:val="21"/>
                <w:lang w:val="en-US" w:eastAsia="zh-CN"/>
              </w:rPr>
              <w:t>4</w:t>
            </w:r>
            <w:r>
              <w:rPr>
                <w:rFonts w:hint="eastAsia" w:ascii="宋体" w:hAnsi="宋体"/>
                <w:b/>
                <w:color w:val="000000"/>
                <w:szCs w:val="21"/>
                <w:lang w:eastAsia="zh-CN"/>
              </w:rPr>
              <w:t>）</w:t>
            </w:r>
            <w:r>
              <w:rPr>
                <w:rFonts w:hint="eastAsia" w:ascii="宋体" w:hAnsi="宋体"/>
                <w:b/>
                <w:color w:val="000000"/>
                <w:szCs w:val="21"/>
              </w:rPr>
              <w:t>法律法规要求及时更新了</w:t>
            </w:r>
            <w:r>
              <w:rPr>
                <w:rFonts w:hint="eastAsia" w:ascii="宋体" w:hAnsi="宋体"/>
                <w:b/>
                <w:color w:val="000000" w:themeColor="text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3"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bidi w:val="0"/>
              <w:snapToGrid/>
              <w:spacing w:line="360" w:lineRule="exact"/>
              <w:textAlignment w:val="auto"/>
              <w:rPr>
                <w:rFonts w:hint="eastAsia" w:ascii="Times New Roman" w:hAnsi="Times New Roman" w:cs="宋体"/>
                <w:lang w:eastAsia="zh-CN"/>
              </w:rPr>
            </w:pPr>
            <w:r>
              <w:rPr>
                <w:rFonts w:hint="eastAsia" w:ascii="Times New Roman" w:hAnsi="Times New Roman" w:cs="宋体"/>
                <w:lang w:eastAsia="zh-CN"/>
              </w:rPr>
              <w:t>公司环境职业健康安全目标</w:t>
            </w:r>
            <w:r>
              <w:rPr>
                <w:rFonts w:hint="eastAsia" w:cs="宋体"/>
                <w:lang w:eastAsia="zh-CN"/>
              </w:rPr>
              <w:t>：1、一般固废物回收率达到93%以上；2、危险废弃物100%妥善处理；3、控制火灾发生率0%；4、工伤频率小于2‰；5、无重伤及死亡事故；6、火灾发生率为零</w:t>
            </w:r>
            <w:r>
              <w:rPr>
                <w:rFonts w:hint="eastAsia" w:ascii="Times New Roman" w:hAnsi="Times New Roman" w:cs="宋体"/>
                <w:lang w:eastAsia="zh-CN"/>
              </w:rPr>
              <w:t>。</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目标符合标准要求，在方针的框架下展开，每</w:t>
            </w:r>
            <w:r>
              <w:rPr>
                <w:rFonts w:hint="eastAsia" w:ascii="Times New Roman" w:hAnsi="Times New Roman" w:cs="宋体"/>
                <w:lang w:val="en-US" w:eastAsia="zh-CN"/>
              </w:rPr>
              <w:t>季度</w:t>
            </w:r>
            <w:r>
              <w:rPr>
                <w:rFonts w:hint="eastAsia" w:ascii="Times New Roman" w:hAnsi="Times New Roman" w:cs="宋体"/>
              </w:rPr>
              <w:t>考核一次，</w:t>
            </w:r>
            <w:r>
              <w:rPr>
                <w:rFonts w:hint="eastAsia" w:cs="宋体"/>
                <w:lang w:val="en-US" w:eastAsia="zh-CN"/>
              </w:rPr>
              <w:t>查看</w:t>
            </w:r>
            <w:r>
              <w:rPr>
                <w:rFonts w:hint="eastAsia" w:ascii="Times New Roman" w:hAnsi="Times New Roman" w:cs="宋体"/>
                <w:lang w:val="en-US" w:eastAsia="zh-CN"/>
              </w:rPr>
              <w:t>20</w:t>
            </w:r>
            <w:r>
              <w:rPr>
                <w:rFonts w:hint="eastAsia" w:cs="宋体"/>
                <w:lang w:val="en-US" w:eastAsia="zh-CN"/>
              </w:rPr>
              <w:t>21</w:t>
            </w:r>
            <w:r>
              <w:rPr>
                <w:rFonts w:hint="eastAsia" w:ascii="Times New Roman" w:hAnsi="Times New Roman" w:cs="宋体"/>
                <w:lang w:val="en-US" w:eastAsia="zh-CN"/>
              </w:rPr>
              <w:t>年</w:t>
            </w:r>
            <w:r>
              <w:rPr>
                <w:rFonts w:hint="eastAsia" w:cs="宋体"/>
                <w:lang w:val="en-US" w:eastAsia="zh-CN"/>
              </w:rPr>
              <w:t>2</w:t>
            </w:r>
            <w:r>
              <w:rPr>
                <w:rFonts w:hint="eastAsia" w:ascii="Times New Roman" w:hAnsi="Times New Roman" w:cs="宋体"/>
                <w:lang w:val="en-US" w:eastAsia="zh-CN"/>
              </w:rPr>
              <w:t>季度目标考核记录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Times New Roman" w:hAnsi="Times New Roman" w:cs="宋体"/>
              </w:rPr>
              <w:t>管理体系文件由</w:t>
            </w:r>
            <w:r>
              <w:rPr>
                <w:rFonts w:hint="eastAsia" w:cs="宋体"/>
                <w:lang w:eastAsia="zh-CN"/>
              </w:rPr>
              <w:t>办公室</w:t>
            </w:r>
            <w:r>
              <w:rPr>
                <w:rFonts w:hint="eastAsia" w:ascii="Times New Roman" w:hAnsi="Times New Roman" w:cs="宋体"/>
              </w:rPr>
              <w:t>组织编写，总经理批准发布实施，</w:t>
            </w:r>
            <w:r>
              <w:rPr>
                <w:rFonts w:hint="eastAsia" w:cs="宋体"/>
                <w:lang w:eastAsia="zh-CN"/>
              </w:rPr>
              <w:t>办公室</w:t>
            </w:r>
            <w:r>
              <w:rPr>
                <w:rFonts w:hint="eastAsia" w:ascii="Times New Roman" w:hAnsi="Times New Roman" w:cs="宋体"/>
              </w:rPr>
              <w:t>打印传阅，公司文件柜存放，电子版本在电脑桌面上，每个人均可查阅。外来文件电子版本在电脑桌面上，每个人均可查阅。记录管理：</w:t>
            </w:r>
            <w:r>
              <w:rPr>
                <w:rFonts w:hint="eastAsia" w:cs="宋体"/>
                <w:lang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cs="宋体"/>
                <w:lang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ascii="宋体" w:hAnsi="宋体"/>
                <w:b/>
                <w:color w:val="000000" w:themeColor="text1"/>
                <w:sz w:val="20"/>
                <w:szCs w:val="20"/>
                <w:lang w:val="en-US" w:eastAsia="zh-CN"/>
              </w:rPr>
              <w:t>1.</w:t>
            </w: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20</w:t>
            </w:r>
            <w:r>
              <w:rPr>
                <w:rFonts w:hint="eastAsia"/>
                <w:sz w:val="21"/>
                <w:szCs w:val="21"/>
              </w:rPr>
              <w:t>人，其中管理人员</w:t>
            </w:r>
            <w:r>
              <w:rPr>
                <w:rFonts w:hint="eastAsia"/>
                <w:sz w:val="21"/>
                <w:szCs w:val="21"/>
                <w:lang w:val="en-US" w:eastAsia="zh-CN"/>
              </w:rPr>
              <w:t>3</w:t>
            </w:r>
            <w:r>
              <w:rPr>
                <w:rFonts w:hint="eastAsia"/>
                <w:sz w:val="21"/>
                <w:szCs w:val="21"/>
              </w:rPr>
              <w:t>人，满足</w:t>
            </w:r>
            <w:r>
              <w:rPr>
                <w:rFonts w:hint="eastAsia"/>
                <w:sz w:val="21"/>
                <w:szCs w:val="21"/>
                <w:lang w:val="en-US" w:eastAsia="zh-CN"/>
              </w:rPr>
              <w:t>生产销售服务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2.</w:t>
            </w: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sz w:val="21"/>
                <w:szCs w:val="21"/>
              </w:rPr>
              <w:t>配备有</w:t>
            </w:r>
            <w:r>
              <w:rPr>
                <w:rFonts w:hint="eastAsia"/>
                <w:sz w:val="21"/>
                <w:szCs w:val="21"/>
                <w:lang w:eastAsia="zh-CN"/>
              </w:rPr>
              <w:t>办公室、</w:t>
            </w:r>
            <w:r>
              <w:rPr>
                <w:rFonts w:hint="eastAsia"/>
                <w:sz w:val="21"/>
                <w:szCs w:val="21"/>
                <w:lang w:val="en-US" w:eastAsia="zh-CN"/>
              </w:rPr>
              <w:t>车间、库房</w:t>
            </w:r>
            <w:r>
              <w:rPr>
                <w:rFonts w:hint="eastAsia"/>
                <w:sz w:val="21"/>
                <w:szCs w:val="21"/>
              </w:rPr>
              <w:t>等基础设施，主要设</w:t>
            </w:r>
            <w:r>
              <w:rPr>
                <w:rFonts w:hint="eastAsia"/>
                <w:sz w:val="21"/>
                <w:szCs w:val="21"/>
                <w:lang w:eastAsia="zh-CN"/>
              </w:rPr>
              <w:t>施：</w:t>
            </w:r>
            <w:r>
              <w:rPr>
                <w:rFonts w:hint="eastAsia" w:ascii="宋体" w:hAnsi="宋体" w:eastAsia="宋体" w:cs="Times New Roman"/>
                <w:color w:val="000000"/>
                <w:spacing w:val="-10"/>
                <w:sz w:val="20"/>
                <w:szCs w:val="20"/>
              </w:rPr>
              <w:t>塑料拉丝机、经编机、分卷机、混料机、破碎机、冲床、二保焊机、电焊机、折弯机、台钻、水锯、切割机、压板机、切断机、直丝机、离子切割机</w:t>
            </w:r>
            <w:r>
              <w:rPr>
                <w:rFonts w:hint="eastAsia"/>
                <w:sz w:val="21"/>
                <w:szCs w:val="21"/>
              </w:rPr>
              <w:t>，满足</w:t>
            </w:r>
            <w:r>
              <w:rPr>
                <w:rFonts w:hint="eastAsia"/>
                <w:sz w:val="21"/>
                <w:szCs w:val="21"/>
                <w:lang w:val="en-US" w:eastAsia="zh-CN"/>
              </w:rPr>
              <w:t>生产销售</w:t>
            </w:r>
            <w:r>
              <w:rPr>
                <w:rFonts w:hint="eastAsia"/>
                <w:sz w:val="21"/>
                <w:szCs w:val="21"/>
                <w:lang w:eastAsia="zh-CN"/>
              </w:rPr>
              <w:t>服务</w:t>
            </w:r>
            <w:r>
              <w:rPr>
                <w:rFonts w:hint="eastAsia"/>
                <w:sz w:val="21"/>
                <w:szCs w:val="21"/>
              </w:rPr>
              <w:t>需求</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3.</w:t>
            </w:r>
            <w:r>
              <w:rPr>
                <w:rFonts w:hint="eastAsia" w:ascii="宋体" w:hAnsi="宋体"/>
                <w:b/>
                <w:color w:val="000000" w:themeColor="text1"/>
                <w:sz w:val="20"/>
                <w:szCs w:val="20"/>
              </w:rPr>
              <w:t>过程运行环境</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Times New Roman" w:eastAsia="宋体" w:cs="Times New Roman"/>
                <w:color w:val="000000"/>
                <w:sz w:val="20"/>
                <w:szCs w:val="20"/>
              </w:rPr>
              <w:t>车间占地面积约5500平，办公室面积约500平布局相对合理，场所卫生较整洁，工作环境尚可，设备摆放较有序</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lang w:val="en-US" w:eastAsia="zh-CN"/>
              </w:rPr>
              <w:t>4.</w:t>
            </w:r>
            <w:r>
              <w:rPr>
                <w:rFonts w:hint="eastAsia" w:ascii="宋体" w:hAnsi="宋体"/>
                <w:b/>
                <w:color w:val="000000" w:themeColor="text1"/>
                <w:sz w:val="20"/>
                <w:szCs w:val="20"/>
              </w:rPr>
              <w:t>监视和测量资源</w:t>
            </w:r>
          </w:p>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z w:val="20"/>
                <w:szCs w:val="20"/>
              </w:rPr>
            </w:pPr>
            <w:r>
              <w:rPr>
                <w:rFonts w:hint="eastAsia"/>
                <w:sz w:val="21"/>
                <w:szCs w:val="21"/>
                <w:lang w:val="en-US" w:eastAsia="zh-CN"/>
              </w:rPr>
              <w:t>无环境、职业健康安全方面的监视和测量资源</w:t>
            </w: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9"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5.</w:t>
            </w:r>
            <w:r>
              <w:rPr>
                <w:rFonts w:hint="eastAsia" w:ascii="宋体" w:hAnsi="宋体"/>
                <w:b/>
                <w:color w:val="000000" w:themeColor="text1"/>
                <w:sz w:val="20"/>
                <w:szCs w:val="20"/>
              </w:rPr>
              <w:t>知识</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公司对法律法规及其他要求进行了获取，包括</w:t>
            </w:r>
            <w:r>
              <w:rPr>
                <w:rFonts w:hint="eastAsia"/>
              </w:rPr>
              <w:t>产品</w:t>
            </w:r>
            <w:bookmarkStart w:id="5" w:name="_GoBack"/>
            <w:r>
              <w:rPr>
                <w:rFonts w:hint="eastAsia"/>
                <w:lang w:val="en-US" w:eastAsia="zh-CN"/>
              </w:rPr>
              <w:t>劳动法、</w:t>
            </w:r>
            <w:r>
              <w:rPr>
                <w:rFonts w:hint="eastAsia"/>
                <w:color w:val="auto"/>
                <w:lang w:eastAsia="zh-CN"/>
              </w:rPr>
              <w:t>劳动合同法、</w:t>
            </w:r>
            <w:r>
              <w:rPr>
                <w:rFonts w:hint="eastAsia"/>
              </w:rPr>
              <w:t>环境保护法</w:t>
            </w:r>
            <w:r>
              <w:rPr>
                <w:rFonts w:hint="eastAsia"/>
                <w:lang w:eastAsia="zh-CN"/>
              </w:rPr>
              <w:t>、</w:t>
            </w:r>
            <w:r>
              <w:rPr>
                <w:rFonts w:hint="eastAsia"/>
              </w:rPr>
              <w:t>消防法、固体废弃物环境防治法</w:t>
            </w:r>
            <w:r>
              <w:rPr>
                <w:rFonts w:hint="eastAsia"/>
                <w:color w:val="auto"/>
                <w:lang w:eastAsia="zh-CN"/>
              </w:rPr>
              <w:t>、工伤保险条例</w:t>
            </w:r>
            <w:r>
              <w:rPr>
                <w:rFonts w:hint="eastAsia"/>
              </w:rPr>
              <w:t>、劳动保护用品管理规定、</w:t>
            </w:r>
            <w:r>
              <w:rPr>
                <w:rFonts w:hint="default" w:ascii="Times New Roman" w:hAnsi="Times New Roman" w:cs="Times New Roman"/>
                <w:sz w:val="21"/>
                <w:szCs w:val="21"/>
              </w:rPr>
              <w:t>GB12348-2008《工业企业厂界环境噪声排放标准》、GB3095-2012《环境空气质量标准》、GBZ2-2007《工作场所有害因素职业接触限值》</w:t>
            </w:r>
            <w:r>
              <w:rPr>
                <w:rFonts w:hint="eastAsia" w:ascii="Times New Roman" w:hAnsi="Times New Roman" w:cs="Times New Roman"/>
                <w:sz w:val="21"/>
                <w:szCs w:val="21"/>
                <w:lang w:eastAsia="zh-CN"/>
              </w:rPr>
              <w:t>、</w:t>
            </w:r>
            <w:r>
              <w:rPr>
                <w:rFonts w:hint="eastAsia"/>
              </w:rPr>
              <w:t>GB/T 19000-2016《质量管理体系 基础和术语》、GB/T19001-2016《质量管理体系 要求》、GB/T24001-2016《环境管理体系 要求及使用指南》、</w:t>
            </w:r>
            <w:r>
              <w:rPr>
                <w:rFonts w:hint="eastAsia"/>
                <w:lang w:val="en-US" w:eastAsia="zh-CN"/>
              </w:rPr>
              <w:t>GB/T</w:t>
            </w:r>
            <w:r>
              <w:rPr>
                <w:rFonts w:hint="eastAsia"/>
              </w:rPr>
              <w:t>45001</w:t>
            </w:r>
            <w:r>
              <w:rPr>
                <w:rFonts w:hint="eastAsia"/>
                <w:lang w:val="en-US" w:eastAsia="zh-CN"/>
              </w:rPr>
              <w:t>-2020</w:t>
            </w:r>
            <w:r>
              <w:rPr>
                <w:rFonts w:hint="eastAsia"/>
              </w:rPr>
              <w:t>职业健康安全管理体系 要求及使用指南》</w:t>
            </w:r>
            <w:bookmarkEnd w:id="5"/>
            <w:r>
              <w:rPr>
                <w:rFonts w:hint="eastAsia"/>
                <w:sz w:val="21"/>
                <w:szCs w:val="21"/>
              </w:rPr>
              <w:t>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6.</w:t>
            </w: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灭火器、集气罩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7.</w:t>
            </w: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灭火器、警示牌等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1. 针对方针的管理职责评审（包括针对组织宗旨，制定相关管理方针政策、确保方针为员工理解并在运营中实施，监视方针的实施并评审方针的适宜性）</w:t>
            </w:r>
          </w:p>
          <w:p>
            <w:pPr>
              <w:keepNext w:val="0"/>
              <w:keepLines w:val="0"/>
              <w:pageBreakBefore w:val="0"/>
              <w:kinsoku/>
              <w:wordWrap/>
              <w:overflowPunct/>
              <w:topLinePunct w:val="0"/>
              <w:bidi w:val="0"/>
              <w:snapToGrid/>
              <w:spacing w:line="360" w:lineRule="exact"/>
              <w:textAlignment w:val="auto"/>
              <w:rPr>
                <w:rFonts w:hint="eastAsia" w:ascii="Times New Roman" w:hAnsi="Times New Roman" w:eastAsia="宋体" w:cs="宋体"/>
                <w:lang w:eastAsia="zh-CN"/>
              </w:rPr>
            </w:pPr>
            <w:r>
              <w:rPr>
                <w:rFonts w:hint="eastAsia" w:ascii="Times New Roman" w:hAnsi="Times New Roman" w:eastAsia="宋体" w:cs="宋体"/>
                <w:lang w:val="en-US" w:eastAsia="zh-CN"/>
              </w:rPr>
              <w:t>1.</w:t>
            </w:r>
            <w:r>
              <w:rPr>
                <w:rFonts w:hint="eastAsia" w:ascii="Times New Roman" w:hAnsi="Times New Roman" w:eastAsia="宋体" w:cs="宋体"/>
              </w:rPr>
              <w:t>管理方针：</w:t>
            </w:r>
            <w:r>
              <w:rPr>
                <w:rFonts w:hint="eastAsia" w:ascii="Times New Roman" w:hAnsi="Times New Roman" w:eastAsia="宋体" w:cs="宋体"/>
                <w:lang w:val="en-US" w:eastAsia="zh-CN"/>
              </w:rPr>
              <w:t>顾客至上、制造精品、诚信经营、持续改进</w:t>
            </w:r>
            <w:r>
              <w:rPr>
                <w:rFonts w:hint="eastAsia" w:ascii="Times New Roman" w:hAnsi="Times New Roman" w:eastAsia="宋体" w:cs="宋体"/>
              </w:rPr>
              <w:t>；</w:t>
            </w:r>
            <w:r>
              <w:rPr>
                <w:rFonts w:hint="eastAsia" w:ascii="Times New Roman" w:hAnsi="Times New Roman" w:eastAsia="宋体" w:cs="宋体"/>
                <w:lang w:val="en-US" w:eastAsia="zh-CN"/>
              </w:rPr>
              <w:t>节能降耗、保护环境；预防为主、确保安全</w:t>
            </w:r>
            <w:r>
              <w:rPr>
                <w:rFonts w:hint="eastAsia" w:ascii="Times New Roman" w:hAnsi="Times New Roman" w:eastAsia="宋体" w:cs="宋体"/>
              </w:rPr>
              <w:t>。</w:t>
            </w:r>
          </w:p>
          <w:p>
            <w:pPr>
              <w:keepNext w:val="0"/>
              <w:keepLines w:val="0"/>
              <w:pageBreakBefore w:val="0"/>
              <w:kinsoku/>
              <w:wordWrap/>
              <w:overflowPunct/>
              <w:topLinePunct w:val="0"/>
              <w:bidi w:val="0"/>
              <w:snapToGrid/>
              <w:spacing w:line="360" w:lineRule="exact"/>
              <w:textAlignment w:val="auto"/>
            </w:pPr>
            <w:r>
              <w:t>2.</w:t>
            </w:r>
            <w:r>
              <w:rPr>
                <w:rFonts w:hint="eastAsia" w:cs="宋体"/>
              </w:rPr>
              <w:t>管理方针与企业的经营宗旨相适应，协调；</w:t>
            </w:r>
          </w:p>
          <w:p>
            <w:pPr>
              <w:keepNext w:val="0"/>
              <w:keepLines w:val="0"/>
              <w:pageBreakBefore w:val="0"/>
              <w:kinsoku/>
              <w:wordWrap/>
              <w:overflowPunct/>
              <w:topLinePunct w:val="0"/>
              <w:bidi w:val="0"/>
              <w:snapToGrid/>
              <w:spacing w:line="360" w:lineRule="exact"/>
              <w:ind w:left="1"/>
              <w:textAlignment w:val="auto"/>
              <w:rPr>
                <w:rFonts w:hint="eastAsia"/>
                <w:b/>
                <w:color w:val="000000" w:themeColor="text1"/>
                <w:sz w:val="20"/>
                <w:szCs w:val="20"/>
              </w:rPr>
            </w:pPr>
            <w:r>
              <w:t>3.</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w:t>
            </w:r>
            <w:r>
              <w:rPr>
                <w:rFonts w:hint="eastAsia" w:ascii="宋体" w:hAnsi="宋体"/>
                <w:szCs w:val="21"/>
                <w:lang w:val="en-US" w:eastAsia="zh-CN"/>
              </w:rPr>
              <w:t>网络、</w:t>
            </w:r>
            <w:r>
              <w:rPr>
                <w:rFonts w:hint="eastAsia" w:ascii="宋体" w:hAnsi="宋体"/>
                <w:szCs w:val="21"/>
              </w:rPr>
              <w:t>面谈等方式进行内部沟通</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szCs w:val="21"/>
                <w:lang w:val="en-US" w:eastAsia="zh-CN"/>
              </w:rPr>
              <w:t>对顾客回访，进行满意度调查。</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w:t>
            </w:r>
            <w:r>
              <w:rPr>
                <w:rFonts w:hint="eastAsia" w:ascii="宋体" w:hAnsi="宋体"/>
                <w:szCs w:val="21"/>
                <w:lang w:val="en-US" w:eastAsia="zh-CN"/>
              </w:rPr>
              <w:t>会议、</w:t>
            </w:r>
            <w:r>
              <w:rPr>
                <w:rFonts w:hint="eastAsia" w:ascii="宋体" w:hAnsi="宋体"/>
                <w:szCs w:val="21"/>
              </w:rPr>
              <w:t>电话、面谈、</w:t>
            </w:r>
            <w:r>
              <w:rPr>
                <w:rFonts w:hint="eastAsia" w:ascii="宋体" w:hAnsi="宋体"/>
                <w:szCs w:val="21"/>
                <w:lang w:val="en-US" w:eastAsia="zh-CN"/>
              </w:rPr>
              <w:t>网络</w:t>
            </w:r>
            <w:r>
              <w:rPr>
                <w:rFonts w:hint="eastAsia" w:ascii="宋体" w:hAnsi="宋体"/>
                <w:szCs w:val="21"/>
              </w:rPr>
              <w:t>等，主要与顾客、供方、上级主管部门的沟通，目前各项沟通都较为顺畅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QMS 组织对重要过程实施控制的结果</w:t>
            </w:r>
          </w:p>
          <w:p>
            <w:pPr>
              <w:keepNext w:val="0"/>
              <w:keepLines w:val="0"/>
              <w:pageBreakBefore w:val="0"/>
              <w:kinsoku/>
              <w:wordWrap/>
              <w:overflowPunct/>
              <w:topLinePunct w:val="0"/>
              <w:bidi w:val="0"/>
              <w:snapToGrid/>
              <w:spacing w:line="360" w:lineRule="exact"/>
              <w:ind w:left="188" w:leftChars="42" w:hanging="100" w:hangingChars="50"/>
              <w:textAlignment w:val="auto"/>
              <w:rPr>
                <w:b/>
                <w:color w:val="000000" w:themeColor="text1"/>
                <w:sz w:val="20"/>
                <w:szCs w:val="20"/>
              </w:rPr>
            </w:pPr>
            <w:r>
              <w:rPr>
                <w:rFonts w:hint="eastAsia"/>
                <w:b/>
                <w:color w:val="000000" w:themeColor="text1"/>
                <w:sz w:val="20"/>
                <w:szCs w:val="20"/>
              </w:rPr>
              <w:t>(包括对QMS关键工序(过程)、特殊过程控制</w:t>
            </w:r>
            <w:r>
              <w:rPr>
                <w:rFonts w:hint="eastAsia"/>
                <w:b/>
                <w:color w:val="000000" w:themeColor="text1"/>
                <w:sz w:val="20"/>
                <w:szCs w:val="20"/>
                <w:lang w:eastAsia="zh-CN"/>
              </w:rPr>
              <w:t>；</w:t>
            </w:r>
            <w:r>
              <w:rPr>
                <w:rFonts w:hint="eastAsia"/>
                <w:b/>
                <w:color w:val="000000" w:themeColor="text1"/>
                <w:sz w:val="20"/>
                <w:szCs w:val="20"/>
              </w:rPr>
              <w:t>评价组织对过程实施控制情况)</w:t>
            </w:r>
          </w:p>
          <w:p>
            <w:pPr>
              <w:pStyle w:val="18"/>
              <w:keepNext w:val="0"/>
              <w:keepLines w:val="0"/>
              <w:pageBreakBefore w:val="0"/>
              <w:widowControl w:val="0"/>
              <w:kinsoku/>
              <w:wordWrap/>
              <w:overflowPunct/>
              <w:topLinePunct w:val="0"/>
              <w:autoSpaceDE w:val="0"/>
              <w:autoSpaceDN w:val="0"/>
              <w:bidi w:val="0"/>
              <w:adjustRightInd w:val="0"/>
              <w:snapToGrid/>
              <w:spacing w:line="360" w:lineRule="exact"/>
              <w:ind w:right="0" w:rightChars="0"/>
              <w:textAlignment w:val="auto"/>
              <w:outlineLvl w:val="9"/>
              <w:rPr>
                <w:rFonts w:hint="default"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jc w:val="left"/>
              <w:textAlignment w:val="auto"/>
            </w:pPr>
            <w:r>
              <w:rPr>
                <w:rFonts w:hint="eastAsia"/>
              </w:rPr>
              <w:t>4.QMS产品/服务的标准、协议/规范的有效性以及产品/服务质量符合要求，向顾客稳定提供合格产品的情况；</w:t>
            </w:r>
          </w:p>
          <w:p>
            <w:pPr>
              <w:keepNext w:val="0"/>
              <w:keepLines w:val="0"/>
              <w:pageBreakBefore w:val="0"/>
              <w:kinsoku/>
              <w:wordWrap/>
              <w:overflowPunct/>
              <w:topLinePunct w:val="0"/>
              <w:bidi w:val="0"/>
              <w:snapToGrid/>
              <w:spacing w:line="360" w:lineRule="exact"/>
              <w:textAlignment w:val="auto"/>
              <w:rPr>
                <w:rFonts w:hint="eastAsia"/>
              </w:rPr>
            </w:pPr>
            <w:r>
              <w:rPr>
                <w:rFonts w:hint="eastAsia"/>
              </w:rPr>
              <w:t>(应说明相关证据)：</w:t>
            </w:r>
          </w:p>
          <w:p>
            <w:pPr>
              <w:keepNext w:val="0"/>
              <w:keepLines w:val="0"/>
              <w:pageBreakBefore w:val="0"/>
              <w:kinsoku/>
              <w:wordWrap/>
              <w:overflowPunct/>
              <w:topLinePunct w:val="0"/>
              <w:bidi w:val="0"/>
              <w:snapToGrid/>
              <w:spacing w:line="360" w:lineRule="exact"/>
              <w:textAlignment w:val="auto"/>
              <w:rPr>
                <w:rFonts w:hint="eastAsia"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1"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keepNext w:val="0"/>
              <w:keepLines w:val="0"/>
              <w:pageBreakBefore w:val="0"/>
              <w:kinsoku/>
              <w:wordWrap/>
              <w:overflowPunct/>
              <w:topLinePunct w:val="0"/>
              <w:bidi w:val="0"/>
              <w:snapToGrid/>
              <w:spacing w:line="360" w:lineRule="exact"/>
              <w:ind w:firstLine="201" w:firstLineChars="100"/>
              <w:textAlignment w:val="auto"/>
              <w:rPr>
                <w:rFonts w:hint="default"/>
                <w:b/>
                <w:color w:val="000000" w:themeColor="text1"/>
                <w:sz w:val="20"/>
                <w:szCs w:val="20"/>
                <w:lang w:val="en-US" w:eastAsia="zh-CN"/>
              </w:rPr>
            </w:pPr>
            <w:r>
              <w:rPr>
                <w:rFonts w:hint="eastAsia"/>
                <w:b/>
                <w:color w:val="000000" w:themeColor="text1"/>
                <w:sz w:val="20"/>
                <w:szCs w:val="20"/>
                <w:lang w:val="en-US" w:eastAsia="zh-CN"/>
              </w:rPr>
              <w:t>无</w:t>
            </w:r>
          </w:p>
          <w:p>
            <w:pPr>
              <w:keepNext w:val="0"/>
              <w:keepLines w:val="0"/>
              <w:pageBreakBefore w:val="0"/>
              <w:kinsoku/>
              <w:wordWrap/>
              <w:overflowPunct/>
              <w:topLinePunct w:val="0"/>
              <w:bidi w:val="0"/>
              <w:snapToGrid/>
              <w:spacing w:line="360" w:lineRule="exact"/>
              <w:ind w:firstLine="197" w:firstLineChars="98"/>
              <w:textAlignment w:val="auto"/>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4"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sz w:val="21"/>
                <w:szCs w:val="21"/>
              </w:rPr>
              <w:t>对于采购产品出现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7. EMS组织对重要环境因素实施控制的结果</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sz w:val="21"/>
                <w:szCs w:val="21"/>
                <w:lang w:val="en-GB"/>
              </w:rPr>
              <w:t>编制</w:t>
            </w:r>
            <w:r>
              <w:rPr>
                <w:rFonts w:hint="eastAsia" w:ascii="宋体" w:hAnsi="宋体"/>
                <w:color w:val="000000"/>
                <w:szCs w:val="21"/>
              </w:rPr>
              <w:t>环境因素识别与评价控制程序</w:t>
            </w:r>
            <w:r>
              <w:rPr>
                <w:rFonts w:hint="eastAsia" w:ascii="宋体" w:hAnsi="宋体"/>
                <w:color w:val="000000"/>
                <w:szCs w:val="21"/>
                <w:lang w:eastAsia="zh-CN"/>
              </w:rPr>
              <w:t>、</w:t>
            </w:r>
            <w:r>
              <w:rPr>
                <w:rFonts w:hint="eastAsia" w:ascii="宋体" w:hAnsi="宋体"/>
                <w:color w:val="000000"/>
                <w:spacing w:val="4"/>
                <w:szCs w:val="21"/>
              </w:rPr>
              <w:t>环境</w:t>
            </w:r>
            <w:r>
              <w:rPr>
                <w:rFonts w:hint="eastAsia" w:ascii="宋体" w:hAnsi="宋体"/>
                <w:color w:val="000000"/>
                <w:spacing w:val="4"/>
                <w:szCs w:val="21"/>
                <w:lang w:val="en-US" w:eastAsia="zh-CN"/>
              </w:rPr>
              <w:t>安全</w:t>
            </w:r>
            <w:r>
              <w:rPr>
                <w:rFonts w:hint="eastAsia" w:ascii="宋体" w:hAnsi="宋体"/>
                <w:color w:val="000000"/>
                <w:spacing w:val="4"/>
                <w:szCs w:val="21"/>
              </w:rPr>
              <w:t>运行控制程序</w:t>
            </w:r>
            <w:r>
              <w:rPr>
                <w:rFonts w:hint="eastAsia" w:ascii="宋体" w:hAnsi="宋体"/>
                <w:color w:val="000000"/>
                <w:spacing w:val="4"/>
                <w:szCs w:val="21"/>
                <w:lang w:eastAsia="zh-CN"/>
              </w:rPr>
              <w:t>、</w:t>
            </w:r>
            <w:r>
              <w:rPr>
                <w:rFonts w:hint="eastAsia" w:ascii="宋体" w:hAnsi="宋体"/>
                <w:color w:val="000000"/>
                <w:szCs w:val="21"/>
              </w:rPr>
              <w:t>废弃物控制程序</w:t>
            </w:r>
            <w:r>
              <w:rPr>
                <w:rFonts w:hint="eastAsia" w:ascii="宋体" w:hAnsi="宋体"/>
                <w:color w:val="000000"/>
                <w:szCs w:val="21"/>
                <w:lang w:eastAsia="zh-CN"/>
              </w:rPr>
              <w:t>、</w:t>
            </w:r>
            <w:r>
              <w:rPr>
                <w:rFonts w:hint="eastAsia" w:ascii="宋体" w:hAnsi="宋体"/>
                <w:color w:val="000000"/>
                <w:spacing w:val="4"/>
                <w:szCs w:val="21"/>
              </w:rPr>
              <w:t>节能降耗控制程序</w:t>
            </w:r>
            <w:r>
              <w:rPr>
                <w:rFonts w:hint="eastAsia" w:ascii="宋体" w:hAnsi="宋体"/>
                <w:color w:val="000000"/>
                <w:spacing w:val="4"/>
                <w:szCs w:val="21"/>
                <w:lang w:eastAsia="zh-CN"/>
              </w:rPr>
              <w:t>、</w:t>
            </w:r>
            <w:r>
              <w:rPr>
                <w:rFonts w:hint="eastAsia" w:cs="宋体"/>
              </w:rPr>
              <w:t>消防安全管理制度、</w:t>
            </w:r>
            <w:r>
              <w:rPr>
                <w:rFonts w:hint="eastAsia" w:cs="宋体"/>
                <w:lang w:val="en-GB"/>
              </w:rPr>
              <w:t>办公室安全管理制度、车辆管理规定、电脑使用管理办法</w:t>
            </w:r>
            <w:r>
              <w:rPr>
                <w:rFonts w:hint="eastAsia"/>
                <w:sz w:val="21"/>
                <w:szCs w:val="21"/>
              </w:rPr>
              <w:t>等，针对各部门所负责的工作，分别对环境运行过程进行控制</w:t>
            </w:r>
            <w:r>
              <w:rPr>
                <w:rFonts w:hint="eastAsia"/>
                <w:sz w:val="21"/>
                <w:szCs w:val="21"/>
                <w:lang w:val="en-GB"/>
              </w:rPr>
              <w:t>，</w:t>
            </w:r>
            <w:r>
              <w:rPr>
                <w:rFonts w:hint="eastAsia"/>
                <w:sz w:val="21"/>
                <w:szCs w:val="21"/>
              </w:rPr>
              <w:t>涉及有固废处置、资源控制、火灾、</w:t>
            </w:r>
            <w:r>
              <w:rPr>
                <w:rFonts w:hint="eastAsia"/>
                <w:sz w:val="21"/>
                <w:szCs w:val="21"/>
                <w:lang w:val="en-US" w:eastAsia="zh-CN"/>
              </w:rPr>
              <w:t>废气排放、噪声排放、</w:t>
            </w:r>
            <w:r>
              <w:rPr>
                <w:rFonts w:hint="eastAsia"/>
                <w:sz w:val="21"/>
                <w:szCs w:val="21"/>
              </w:rPr>
              <w:t>相关方施加影响等。</w:t>
            </w:r>
            <w:r>
              <w:rPr>
                <w:rFonts w:hint="eastAsia"/>
                <w:sz w:val="21"/>
                <w:szCs w:val="21"/>
                <w:lang w:val="en-US" w:eastAsia="zh-CN"/>
              </w:rPr>
              <w:t>提供有固废处置记录、相关方告知书及发放记录、劳保用品发放记录。抽相关方，未能提供对</w:t>
            </w:r>
            <w:r>
              <w:rPr>
                <w:rFonts w:hint="default" w:ascii="Times New Roman" w:hAnsi="Times New Roman" w:eastAsia="宋体" w:cs="Times New Roman"/>
                <w:sz w:val="21"/>
                <w:szCs w:val="21"/>
              </w:rPr>
              <w:t>产品运输、镀锌</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喷塑、浸塑</w:t>
            </w:r>
            <w:r>
              <w:rPr>
                <w:rFonts w:hint="eastAsia"/>
                <w:sz w:val="21"/>
                <w:szCs w:val="21"/>
                <w:lang w:val="en-US" w:eastAsia="zh-CN"/>
              </w:rPr>
              <w:t>外包方</w:t>
            </w:r>
            <w:r>
              <w:rPr>
                <w:rFonts w:hint="eastAsia" w:ascii="方正仿宋简体" w:eastAsia="方正仿宋简体"/>
                <w:b w:val="0"/>
                <w:bCs/>
                <w:lang w:val="en-US" w:eastAsia="zh-CN"/>
              </w:rPr>
              <w:t>施加影响的证据。</w:t>
            </w:r>
            <w:r>
              <w:rPr>
                <w:rFonts w:hint="eastAsia"/>
                <w:sz w:val="21"/>
                <w:szCs w:val="21"/>
              </w:rPr>
              <w:t>办公区域干净整洁，配置灭火器等消防设施</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numPr>
                <w:ilvl w:val="0"/>
                <w:numId w:val="4"/>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OHSMS组织对不可接受风险实施控制的结果</w:t>
            </w:r>
          </w:p>
          <w:p>
            <w:pPr>
              <w:keepNext w:val="0"/>
              <w:keepLines w:val="0"/>
              <w:pageBreakBefore w:val="0"/>
              <w:numPr>
                <w:ilvl w:val="0"/>
                <w:numId w:val="0"/>
              </w:numPr>
              <w:kinsoku/>
              <w:wordWrap/>
              <w:overflowPunct/>
              <w:topLinePunct w:val="0"/>
              <w:bidi w:val="0"/>
              <w:snapToGrid/>
              <w:spacing w:line="360" w:lineRule="exact"/>
              <w:textAlignment w:val="auto"/>
              <w:rPr>
                <w:rFonts w:hint="eastAsia"/>
                <w:b/>
                <w:color w:val="000000" w:themeColor="text1"/>
                <w:sz w:val="20"/>
                <w:szCs w:val="20"/>
              </w:rPr>
            </w:pPr>
            <w:r>
              <w:rPr>
                <w:rFonts w:hint="eastAsia"/>
                <w:sz w:val="21"/>
                <w:szCs w:val="21"/>
                <w:lang w:val="en-GB"/>
              </w:rPr>
              <w:t>编制</w:t>
            </w:r>
            <w:r>
              <w:rPr>
                <w:rFonts w:hint="eastAsia" w:ascii="宋体" w:hAnsi="宋体"/>
                <w:color w:val="000000"/>
                <w:szCs w:val="21"/>
              </w:rPr>
              <w:t>危险源识别、风险评价控制程序</w:t>
            </w:r>
            <w:r>
              <w:rPr>
                <w:rFonts w:hint="eastAsia"/>
                <w:sz w:val="21"/>
                <w:szCs w:val="21"/>
                <w:lang w:eastAsia="zh-CN"/>
              </w:rPr>
              <w:t>，</w:t>
            </w:r>
            <w:r>
              <w:rPr>
                <w:rFonts w:hint="eastAsia" w:ascii="宋体" w:hAnsi="宋体"/>
                <w:color w:val="000000"/>
                <w:spacing w:val="4"/>
                <w:szCs w:val="21"/>
              </w:rPr>
              <w:t>环境</w:t>
            </w:r>
            <w:r>
              <w:rPr>
                <w:rFonts w:hint="eastAsia" w:ascii="宋体" w:hAnsi="宋体"/>
                <w:color w:val="000000"/>
                <w:spacing w:val="4"/>
                <w:szCs w:val="21"/>
                <w:lang w:val="en-US" w:eastAsia="zh-CN"/>
              </w:rPr>
              <w:t>安全</w:t>
            </w:r>
            <w:r>
              <w:rPr>
                <w:rFonts w:hint="eastAsia" w:ascii="宋体" w:hAnsi="宋体"/>
                <w:color w:val="000000"/>
                <w:spacing w:val="4"/>
                <w:szCs w:val="21"/>
              </w:rPr>
              <w:t>运行控制程序</w:t>
            </w:r>
            <w:r>
              <w:rPr>
                <w:rFonts w:hint="eastAsia" w:ascii="宋体" w:hAnsi="宋体"/>
                <w:color w:val="000000"/>
                <w:spacing w:val="4"/>
                <w:szCs w:val="21"/>
                <w:lang w:eastAsia="zh-CN"/>
              </w:rPr>
              <w:t>，</w:t>
            </w:r>
            <w:r>
              <w:rPr>
                <w:rFonts w:hint="eastAsia" w:cs="宋体"/>
              </w:rPr>
              <w:t>消防安全管理制度</w:t>
            </w:r>
            <w:r>
              <w:rPr>
                <w:rFonts w:hint="eastAsia" w:cs="宋体"/>
                <w:lang w:eastAsia="zh-CN"/>
              </w:rPr>
              <w:t>，</w:t>
            </w:r>
            <w:r>
              <w:rPr>
                <w:rFonts w:hint="eastAsia" w:cs="宋体"/>
                <w:lang w:val="en-GB"/>
              </w:rPr>
              <w:t>办公室安全管理制度</w:t>
            </w:r>
            <w:r>
              <w:rPr>
                <w:rFonts w:hint="eastAsia" w:cs="宋体"/>
                <w:lang w:val="en-GB" w:eastAsia="zh-CN"/>
              </w:rPr>
              <w:t>，</w:t>
            </w:r>
            <w:r>
              <w:rPr>
                <w:rFonts w:hint="eastAsia" w:cs="宋体"/>
                <w:lang w:val="en-GB"/>
              </w:rPr>
              <w:t>车辆管理规定</w:t>
            </w:r>
            <w:r>
              <w:rPr>
                <w:rFonts w:hint="eastAsia" w:cs="宋体"/>
                <w:lang w:val="en-GB" w:eastAsia="zh-CN"/>
              </w:rPr>
              <w:t>，</w:t>
            </w:r>
            <w:r>
              <w:rPr>
                <w:rFonts w:hint="eastAsia" w:cs="宋体"/>
                <w:lang w:val="en-GB"/>
              </w:rPr>
              <w:t>电脑使用管理办法</w:t>
            </w:r>
            <w:r>
              <w:rPr>
                <w:rFonts w:hint="eastAsia"/>
                <w:sz w:val="21"/>
                <w:szCs w:val="21"/>
                <w:lang w:val="en-GB" w:eastAsia="zh-CN"/>
              </w:rPr>
              <w:t>，</w:t>
            </w:r>
            <w:r>
              <w:rPr>
                <w:rFonts w:hint="eastAsia"/>
                <w:sz w:val="21"/>
                <w:szCs w:val="21"/>
                <w:lang w:val="en-GB"/>
              </w:rPr>
              <w:t>服务人员工作规范等，针对各部门所负责的工作，对危险源进行控制</w:t>
            </w:r>
            <w:r>
              <w:rPr>
                <w:rFonts w:hint="eastAsia"/>
                <w:sz w:val="21"/>
                <w:szCs w:val="21"/>
              </w:rPr>
              <w:t>涉及有</w:t>
            </w:r>
            <w:r>
              <w:rPr>
                <w:rFonts w:hint="eastAsia" w:ascii="宋体"/>
                <w:color w:val="000000"/>
                <w:sz w:val="20"/>
                <w:szCs w:val="20"/>
                <w:lang w:eastAsia="zh-CN"/>
              </w:rPr>
              <w:t>火灾、触电、机械伤害、噪声伤害、</w:t>
            </w:r>
            <w:r>
              <w:rPr>
                <w:rFonts w:hint="eastAsia" w:ascii="宋体"/>
                <w:color w:val="000000"/>
                <w:sz w:val="20"/>
                <w:szCs w:val="20"/>
                <w:lang w:val="en-US" w:eastAsia="zh-CN"/>
              </w:rPr>
              <w:t>废气伤害、意外伤害</w:t>
            </w:r>
            <w:r>
              <w:rPr>
                <w:rFonts w:hint="eastAsia"/>
                <w:sz w:val="21"/>
                <w:szCs w:val="21"/>
                <w:lang w:val="en-GB"/>
              </w:rPr>
              <w:t>、</w:t>
            </w:r>
            <w:r>
              <w:rPr>
                <w:rFonts w:hint="eastAsia"/>
                <w:sz w:val="21"/>
                <w:szCs w:val="21"/>
                <w:lang w:val="en-US" w:eastAsia="zh-CN"/>
              </w:rPr>
              <w:t>车辆</w:t>
            </w:r>
            <w:r>
              <w:rPr>
                <w:rFonts w:hint="eastAsia"/>
                <w:sz w:val="21"/>
                <w:szCs w:val="21"/>
                <w:lang w:val="en-GB"/>
              </w:rPr>
              <w:t>伤害</w:t>
            </w:r>
            <w:r>
              <w:rPr>
                <w:rFonts w:hint="eastAsia"/>
                <w:sz w:val="21"/>
                <w:szCs w:val="21"/>
              </w:rPr>
              <w:t>、相关方施加影响等进行控制，具体措施有对员工进行安全教育，发放劳保用品，对相关方进行告知，</w:t>
            </w:r>
            <w:r>
              <w:rPr>
                <w:rFonts w:hint="eastAsia"/>
                <w:sz w:val="21"/>
                <w:szCs w:val="21"/>
                <w:lang w:val="en-US" w:eastAsia="zh-CN"/>
              </w:rPr>
              <w:t>但未能提供对</w:t>
            </w:r>
            <w:r>
              <w:rPr>
                <w:rFonts w:hint="default" w:ascii="Times New Roman" w:hAnsi="Times New Roman" w:eastAsia="宋体" w:cs="Times New Roman"/>
                <w:sz w:val="21"/>
                <w:szCs w:val="21"/>
              </w:rPr>
              <w:t>产品运输、镀锌</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喷塑、浸塑</w:t>
            </w:r>
            <w:r>
              <w:rPr>
                <w:rFonts w:hint="eastAsia" w:ascii="Times New Roman" w:hAnsi="Times New Roman" w:eastAsia="宋体" w:cs="Times New Roman"/>
                <w:sz w:val="21"/>
                <w:szCs w:val="21"/>
                <w:lang w:val="en-US" w:eastAsia="zh-CN"/>
              </w:rPr>
              <w:t>外包</w:t>
            </w:r>
            <w:r>
              <w:rPr>
                <w:rFonts w:hint="eastAsia"/>
                <w:sz w:val="21"/>
                <w:szCs w:val="21"/>
                <w:lang w:val="en-US" w:eastAsia="zh-CN"/>
              </w:rPr>
              <w:t>方</w:t>
            </w:r>
            <w:r>
              <w:rPr>
                <w:rFonts w:hint="eastAsia" w:ascii="方正仿宋简体" w:eastAsia="方正仿宋简体"/>
                <w:b w:val="0"/>
                <w:bCs/>
                <w:lang w:val="en-US" w:eastAsia="zh-CN"/>
              </w:rPr>
              <w:t>施加影响的证据。</w:t>
            </w:r>
            <w:r>
              <w:rPr>
                <w:rFonts w:hint="eastAsia"/>
                <w:sz w:val="21"/>
                <w:szCs w:val="21"/>
              </w:rPr>
              <w:t>办公区域干净整洁，配置灭火器等消防设施</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ind w:left="201" w:hanging="201" w:hangingChars="100"/>
              <w:textAlignment w:val="auto"/>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keepNext w:val="0"/>
              <w:keepLines w:val="0"/>
              <w:pageBreakBefore w:val="0"/>
              <w:kinsoku/>
              <w:wordWrap/>
              <w:overflowPunct/>
              <w:topLinePunct w:val="0"/>
              <w:bidi w:val="0"/>
              <w:snapToGrid/>
              <w:spacing w:line="360" w:lineRule="exact"/>
              <w:textAlignment w:val="auto"/>
              <w:rPr>
                <w:rFonts w:hint="default"/>
                <w:b/>
                <w:color w:val="000000" w:themeColor="text1"/>
                <w:spacing w:val="-4"/>
                <w:sz w:val="20"/>
                <w:szCs w:val="20"/>
                <w:lang w:val="en-US"/>
              </w:rPr>
            </w:pPr>
            <w:r>
              <w:rPr>
                <w:rFonts w:hint="eastAsia" w:ascii="宋体" w:hAnsi="宋体"/>
                <w:bCs/>
                <w:color w:val="auto"/>
                <w:sz w:val="21"/>
                <w:szCs w:val="21"/>
                <w:u w:val="none" w:color="auto"/>
                <w:lang w:eastAsia="zh-CN"/>
              </w:rPr>
              <w:t>编制应急准备和响应控制程序，识别的潜在意外紧急情况为火灾、触电、</w:t>
            </w:r>
            <w:r>
              <w:rPr>
                <w:rFonts w:hint="eastAsia" w:ascii="宋体" w:hAnsi="宋体"/>
                <w:bCs/>
                <w:color w:val="auto"/>
                <w:sz w:val="21"/>
                <w:szCs w:val="21"/>
                <w:u w:val="none" w:color="auto"/>
                <w:lang w:val="en-US" w:eastAsia="zh-CN"/>
              </w:rPr>
              <w:t>机械伤害</w:t>
            </w:r>
            <w:r>
              <w:rPr>
                <w:rFonts w:hint="eastAsia" w:ascii="宋体" w:hAnsi="宋体"/>
                <w:bCs/>
                <w:color w:val="auto"/>
                <w:sz w:val="21"/>
                <w:szCs w:val="21"/>
                <w:u w:val="none" w:color="auto"/>
                <w:lang w:eastAsia="zh-CN"/>
              </w:rPr>
              <w:t>等。编制了应急预案—包括火灾、触电、</w:t>
            </w:r>
            <w:r>
              <w:rPr>
                <w:rFonts w:hint="eastAsia" w:ascii="宋体" w:hAnsi="宋体"/>
                <w:bCs/>
                <w:color w:val="auto"/>
                <w:sz w:val="21"/>
                <w:szCs w:val="21"/>
                <w:u w:val="none" w:color="auto"/>
                <w:lang w:val="en-US" w:eastAsia="zh-CN"/>
              </w:rPr>
              <w:t>机械伤害</w:t>
            </w:r>
            <w:r>
              <w:rPr>
                <w:rFonts w:hint="eastAsia" w:ascii="宋体" w:hAnsi="宋体"/>
                <w:bCs/>
                <w:color w:val="auto"/>
                <w:sz w:val="21"/>
                <w:szCs w:val="21"/>
                <w:u w:val="none" w:color="auto"/>
                <w:lang w:eastAsia="zh-CN"/>
              </w:rPr>
              <w:t>应急预案，组织了应急演练，提供了应急预案演练记录。经查符合标准要求</w:t>
            </w:r>
            <w:r>
              <w:rPr>
                <w:rFonts w:hint="eastAsia"/>
                <w:sz w:val="21"/>
                <w:szCs w:val="2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ind w:left="201" w:hanging="201" w:hangingChars="100"/>
              <w:textAlignment w:val="auto"/>
              <w:rPr>
                <w:rFonts w:hint="eastAsia" w:ascii="Times New Roman" w:hAnsi="Times New Roman" w:eastAsia="宋体" w:cs="Times New Roman"/>
                <w:b/>
                <w:color w:val="000000" w:themeColor="text1"/>
                <w:sz w:val="20"/>
                <w:szCs w:val="20"/>
              </w:rPr>
            </w:pPr>
            <w:r>
              <w:rPr>
                <w:rFonts w:hint="eastAsia" w:ascii="Times New Roman" w:hAnsi="Times New Roman" w:eastAsia="宋体" w:cs="Times New Roman"/>
                <w:b/>
                <w:color w:val="000000" w:themeColor="text1"/>
                <w:sz w:val="20"/>
                <w:szCs w:val="20"/>
                <w:lang w:val="en-US" w:eastAsia="zh-CN"/>
              </w:rPr>
              <w:t>10.</w:t>
            </w:r>
            <w:r>
              <w:rPr>
                <w:rFonts w:hint="eastAsia" w:ascii="Times New Roman" w:hAnsi="Times New Roman" w:eastAsia="宋体" w:cs="Times New Roman"/>
                <w:b/>
                <w:color w:val="000000" w:themeColor="text1"/>
                <w:sz w:val="20"/>
                <w:szCs w:val="20"/>
              </w:rPr>
              <w:t xml:space="preserve">对特种设备的维护，检定; </w:t>
            </w:r>
          </w:p>
          <w:p>
            <w:pPr>
              <w:numPr>
                <w:numId w:val="0"/>
              </w:numPr>
              <w:bidi w:val="0"/>
              <w:rPr>
                <w:rFonts w:hint="default"/>
                <w:lang w:val="en-US" w:eastAsia="zh-CN"/>
              </w:rPr>
            </w:pPr>
            <w:r>
              <w:rPr>
                <w:rFonts w:hint="eastAsia"/>
                <w:lang w:val="en-US" w:eastAsia="zh-CN"/>
              </w:rPr>
              <w:t>对叉车、天车进行了检测，提供有检测报告，详见附件。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rPr>
              <w:t>11 .对危险化学品销售、使用、储存、运输处置，规定的执行力度(必要时);</w:t>
            </w:r>
            <w:r>
              <w:rPr>
                <w:rFonts w:hint="eastAsia"/>
                <w:b/>
                <w:color w:val="000000" w:themeColor="text1"/>
                <w:sz w:val="20"/>
                <w:szCs w:val="20"/>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r>
              <w:rPr>
                <w:rFonts w:hint="eastAsia"/>
                <w:b/>
                <w:color w:val="000000" w:themeColor="text1"/>
                <w:szCs w:val="21"/>
              </w:rPr>
              <w:t>(四)监视测量方面</w:t>
            </w:r>
          </w:p>
        </w:tc>
        <w:tc>
          <w:tcPr>
            <w:tcW w:w="9198" w:type="dxa"/>
          </w:tcPr>
          <w:p>
            <w:pPr>
              <w:keepNext w:val="0"/>
              <w:keepLines w:val="0"/>
              <w:pageBreakBefore w:val="0"/>
              <w:kinsoku/>
              <w:wordWrap/>
              <w:overflowPunct/>
              <w:topLinePunct w:val="0"/>
              <w:bidi w:val="0"/>
              <w:snapToGrid/>
              <w:spacing w:line="36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提供了文件化可分解的目标、指标，经查问分解到各部门，经查阅建立的管理目标符合标准要求，在方针的框架下展开，每季度考核一次，查看20</w:t>
            </w:r>
            <w:r>
              <w:rPr>
                <w:rFonts w:hint="eastAsia"/>
                <w:sz w:val="21"/>
                <w:szCs w:val="21"/>
                <w:lang w:val="en-US" w:eastAsia="zh-CN"/>
              </w:rPr>
              <w:t>21</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numPr>
                <w:ilvl w:val="0"/>
                <w:numId w:val="5"/>
              </w:numPr>
              <w:kinsoku/>
              <w:wordWrap/>
              <w:overflowPunct/>
              <w:topLinePunct w:val="0"/>
              <w:bidi w:val="0"/>
              <w:snapToGrid/>
              <w:spacing w:line="360" w:lineRule="exact"/>
              <w:ind w:left="100" w:hanging="100" w:hangingChars="50"/>
              <w:textAlignment w:val="auto"/>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sz w:val="21"/>
                <w:szCs w:val="21"/>
              </w:rPr>
              <w:t>按照策划的安排于</w:t>
            </w:r>
            <w:r>
              <w:t>20</w:t>
            </w:r>
            <w:r>
              <w:rPr>
                <w:rFonts w:hint="eastAsia"/>
                <w:lang w:val="en-US" w:eastAsia="zh-CN"/>
              </w:rPr>
              <w:t>21年5月10日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sz w:val="21"/>
                <w:szCs w:val="21"/>
              </w:rPr>
              <w:t>按照策划的安排于</w:t>
            </w:r>
            <w:r>
              <w:t>20</w:t>
            </w:r>
            <w:r>
              <w:rPr>
                <w:rFonts w:hint="eastAsia"/>
                <w:lang w:val="en-US" w:eastAsia="zh-CN"/>
              </w:rPr>
              <w:t>21</w:t>
            </w:r>
            <w:r>
              <w:rPr>
                <w:rFonts w:hint="eastAsia" w:cs="宋体"/>
              </w:rPr>
              <w:t>年</w:t>
            </w:r>
            <w:r>
              <w:rPr>
                <w:rFonts w:hint="eastAsia" w:cs="宋体"/>
                <w:lang w:val="en-US" w:eastAsia="zh-CN"/>
              </w:rPr>
              <w:t>5</w:t>
            </w:r>
            <w:r>
              <w:rPr>
                <w:rFonts w:hint="eastAsia" w:cs="宋体"/>
              </w:rPr>
              <w:t>月</w:t>
            </w:r>
            <w:r>
              <w:rPr>
                <w:rFonts w:hint="eastAsia" w:cs="宋体"/>
                <w:lang w:val="en-US" w:eastAsia="zh-CN"/>
              </w:rPr>
              <w:t>26</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numPr>
                <w:ilvl w:val="0"/>
                <w:numId w:val="6"/>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sz w:val="21"/>
                <w:szCs w:val="21"/>
                <w:lang w:val="en-US" w:eastAsia="zh-CN"/>
              </w:rPr>
              <w:t>提供有环境监测报告，符合要求，详见附件。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sz w:val="21"/>
                <w:szCs w:val="21"/>
                <w:lang w:val="en-US" w:eastAsia="zh-CN"/>
              </w:rPr>
              <w:t>提供建设项目环境影响报告表、验收报告、验收意见，符合要求，详见附件。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val="0"/>
                <w:bCs/>
                <w:color w:val="000000" w:themeColor="text1"/>
                <w:sz w:val="21"/>
                <w:szCs w:val="21"/>
                <w:lang w:val="en-US" w:eastAsia="zh-CN"/>
              </w:rPr>
              <w:t>提供有员工体检报告，详见附件。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numPr>
                <w:numId w:val="0"/>
              </w:numPr>
              <w:kinsoku/>
              <w:wordWrap/>
              <w:overflowPunct/>
              <w:topLinePunct w:val="0"/>
              <w:bidi w:val="0"/>
              <w:snapToGrid/>
              <w:spacing w:line="360" w:lineRule="exact"/>
              <w:ind w:leftChars="0"/>
              <w:textAlignment w:val="auto"/>
              <w:rPr>
                <w:rFonts w:hint="eastAsia"/>
                <w:b/>
                <w:color w:val="000000" w:themeColor="text1"/>
                <w:sz w:val="20"/>
                <w:szCs w:val="20"/>
                <w:lang w:eastAsia="zh-CN"/>
              </w:rPr>
            </w:pPr>
            <w:r>
              <w:rPr>
                <w:rFonts w:hint="eastAsia"/>
                <w:b/>
                <w:color w:val="000000" w:themeColor="text1"/>
                <w:sz w:val="20"/>
                <w:szCs w:val="20"/>
                <w:lang w:val="en-US" w:eastAsia="zh-CN"/>
              </w:rPr>
              <w:t>8.</w:t>
            </w:r>
            <w:r>
              <w:rPr>
                <w:rFonts w:hint="eastAsia"/>
                <w:b/>
                <w:color w:val="000000" w:themeColor="text1"/>
                <w:sz w:val="20"/>
                <w:szCs w:val="20"/>
              </w:rPr>
              <w:t>OHSMS国家/地方职业健康安全部门监督检查情况及措施</w:t>
            </w:r>
            <w:r>
              <w:rPr>
                <w:rFonts w:hint="eastAsia"/>
                <w:b/>
                <w:color w:val="000000" w:themeColor="text1"/>
                <w:sz w:val="20"/>
                <w:szCs w:val="20"/>
                <w:lang w:eastAsia="zh-CN"/>
              </w:rPr>
              <w:t>：</w:t>
            </w:r>
          </w:p>
          <w:p>
            <w:pPr>
              <w:keepNext w:val="0"/>
              <w:keepLines w:val="0"/>
              <w:pageBreakBefore w:val="0"/>
              <w:numPr>
                <w:numId w:val="0"/>
              </w:numPr>
              <w:kinsoku/>
              <w:wordWrap/>
              <w:overflowPunct/>
              <w:topLinePunct w:val="0"/>
              <w:bidi w:val="0"/>
              <w:snapToGrid/>
              <w:spacing w:line="360" w:lineRule="exact"/>
              <w:ind w:leftChars="0"/>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bottom w:val="single" w:color="auto" w:sz="4" w:space="0"/>
            </w:tcBorders>
          </w:tcPr>
          <w:p>
            <w:pPr>
              <w:keepNext w:val="0"/>
              <w:keepLines w:val="0"/>
              <w:pageBreakBefore w:val="0"/>
              <w:widowControl/>
              <w:numPr>
                <w:ilvl w:val="0"/>
                <w:numId w:val="7"/>
              </w:numPr>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rPr>
              <w:t>其他能够标明组织绩效、信誉的证据/信息：</w:t>
            </w:r>
          </w:p>
          <w:p>
            <w:pPr>
              <w:keepNext w:val="0"/>
              <w:keepLines w:val="0"/>
              <w:pageBreakBefore w:val="0"/>
              <w:widowControl/>
              <w:numPr>
                <w:numId w:val="0"/>
              </w:numPr>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leftChars="0" w:right="113"/>
              <w:jc w:val="center"/>
              <w:textAlignment w:val="auto"/>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1 纠正/预防措施的实施及效果</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w:t>
            </w:r>
            <w:r>
              <w:rPr>
                <w:rFonts w:hint="eastAsia"/>
                <w:sz w:val="21"/>
                <w:szCs w:val="21"/>
              </w:rPr>
              <w:t>实施</w:t>
            </w:r>
            <w:r>
              <w:rPr>
                <w:rFonts w:hint="eastAsia"/>
                <w:sz w:val="21"/>
                <w:szCs w:val="21"/>
                <w:lang w:val="en-US" w:eastAsia="zh-CN"/>
              </w:rPr>
              <w:t>完成</w:t>
            </w:r>
            <w:r>
              <w:rPr>
                <w:rFonts w:hint="eastAsia"/>
                <w:sz w:val="21"/>
                <w:szCs w:val="21"/>
              </w:rPr>
              <w:t>。</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pacing w:val="-20"/>
                <w:sz w:val="20"/>
                <w:szCs w:val="20"/>
              </w:rPr>
              <w:t>2（近一年）重大事故、顾客/相关方投诉</w:t>
            </w:r>
            <w:r>
              <w:rPr>
                <w:rFonts w:hint="eastAsia"/>
                <w:b/>
                <w:color w:val="000000" w:themeColor="text1"/>
                <w:spacing w:val="-20"/>
                <w:sz w:val="20"/>
                <w:szCs w:val="20"/>
                <w:lang w:eastAsia="zh-CN"/>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一阶段提出问题的整改情况</w:t>
            </w:r>
          </w:p>
          <w:p>
            <w:pPr>
              <w:keepNext w:val="0"/>
              <w:keepLines w:val="0"/>
              <w:pageBreakBefore w:val="0"/>
              <w:kinsoku/>
              <w:wordWrap/>
              <w:overflowPunct/>
              <w:topLinePunct w:val="0"/>
              <w:bidi w:val="0"/>
              <w:snapToGrid/>
              <w:spacing w:line="360" w:lineRule="exact"/>
              <w:ind w:firstLine="322" w:firstLineChars="200"/>
              <w:textAlignment w:val="auto"/>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一阶段未发现问题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8"/>
              </w:numPr>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rPr>
              <w:t>创新情况</w:t>
            </w:r>
            <w:r>
              <w:rPr>
                <w:rFonts w:hint="eastAsia"/>
                <w:b/>
                <w:color w:val="000000" w:themeColor="text1"/>
                <w:sz w:val="20"/>
                <w:szCs w:val="20"/>
                <w:lang w:eastAsia="zh-CN"/>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8"/>
              </w:numPr>
              <w:kinsoku/>
              <w:wordWrap/>
              <w:overflowPunct/>
              <w:topLinePunct w:val="0"/>
              <w:bidi w:val="0"/>
              <w:snapToGrid/>
              <w:spacing w:line="360" w:lineRule="exact"/>
              <w:ind w:left="0" w:leftChars="0" w:firstLine="0" w:firstLineChars="0"/>
              <w:textAlignment w:val="auto"/>
              <w:rPr>
                <w:rFonts w:hint="eastAsia"/>
                <w:b/>
                <w:color w:val="000000" w:themeColor="text1"/>
                <w:szCs w:val="21"/>
              </w:rPr>
            </w:pPr>
            <w:r>
              <w:rPr>
                <w:rFonts w:hint="eastAsia"/>
                <w:b/>
                <w:color w:val="000000" w:themeColor="text1"/>
                <w:szCs w:val="21"/>
              </w:rPr>
              <w:t>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办公室</w:t>
      </w:r>
      <w:r>
        <w:rPr>
          <w:rFonts w:hint="eastAsia"/>
          <w:b/>
          <w:color w:val="000000" w:themeColor="text1"/>
        </w:rPr>
        <w:t>的GB/T24001-2016标准的</w:t>
      </w:r>
      <w:r>
        <w:rPr>
          <w:rFonts w:hint="eastAsia"/>
          <w:b/>
          <w:color w:val="000000" w:themeColor="text1"/>
          <w:lang w:val="en-US" w:eastAsia="zh-CN"/>
        </w:rPr>
        <w:t>8.1</w:t>
      </w:r>
      <w:r>
        <w:rPr>
          <w:rFonts w:hint="eastAsia"/>
          <w:b/>
          <w:color w:val="000000" w:themeColor="text1"/>
        </w:rPr>
        <w:t>条款，</w:t>
      </w:r>
      <w:r>
        <w:rPr>
          <w:rFonts w:hint="eastAsia"/>
          <w:b/>
          <w:color w:val="000000" w:themeColor="text1"/>
          <w:lang w:val="en-US" w:eastAsia="zh-CN"/>
        </w:rPr>
        <w:t>GB/T45001-2020</w:t>
      </w:r>
      <w:r>
        <w:rPr>
          <w:rFonts w:hint="eastAsia"/>
          <w:b/>
          <w:color w:val="000000" w:themeColor="text1"/>
        </w:rPr>
        <w:t>标准的</w:t>
      </w:r>
      <w:r>
        <w:rPr>
          <w:rFonts w:hint="eastAsia"/>
          <w:b/>
          <w:color w:val="000000" w:themeColor="text1"/>
          <w:lang w:val="en-US" w:eastAsia="zh-CN"/>
        </w:rPr>
        <w:t>8.1.4</w:t>
      </w:r>
      <w:r>
        <w:rPr>
          <w:rFonts w:hint="eastAsia"/>
          <w:b/>
          <w:color w:val="000000" w:themeColor="text1"/>
        </w:rPr>
        <w:t>条款，分布见附件。</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 w:leftChars="-472" w:hanging="992" w:hangingChars="380"/>
        <w:rPr>
          <w:b/>
          <w:color w:val="000000" w:themeColor="text1"/>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24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24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24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24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24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24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24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240" w:lineRule="auto"/>
              <w:rPr>
                <w:rFonts w:ascii="宋体" w:hAnsi="宋体"/>
                <w:b/>
                <w:color w:val="000000" w:themeColor="text1"/>
                <w:szCs w:val="21"/>
              </w:rPr>
            </w:pPr>
          </w:p>
        </w:tc>
      </w:tr>
    </w:tbl>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1"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pStyle w:val="18"/>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宋体" w:hAnsi="宋体"/>
                <w:sz w:val="21"/>
                <w:szCs w:val="21"/>
                <w:u w:val="single"/>
                <w:lang w:eastAsia="zh-CN"/>
              </w:rPr>
              <w:t>河北海通金属丝网制品有限公司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8"/>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8"/>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10080" w:type="dxa"/>
          </w:tcPr>
          <w:p>
            <w:r>
              <w:rPr>
                <w:rFonts w:hint="eastAsia"/>
              </w:rPr>
              <w:t>2.对审核范围适宜性结论</w:t>
            </w:r>
          </w:p>
          <w:p>
            <w:pPr>
              <w:rPr>
                <w:rFonts w:hint="eastAsia"/>
              </w:rPr>
            </w:pPr>
            <w:r>
              <w:rPr>
                <w:rFonts w:hint="eastAsia"/>
                <w:lang w:eastAsia="zh-CN"/>
              </w:rPr>
              <w:t>☑</w:t>
            </w:r>
            <w:r>
              <w:rPr>
                <w:rFonts w:hint="eastAsia"/>
              </w:rPr>
              <w:t>审核范围适宜，</w:t>
            </w:r>
          </w:p>
          <w:p>
            <w:pPr>
              <w:spacing w:line="400" w:lineRule="exact"/>
              <w:jc w:val="both"/>
              <w:rPr>
                <w:rFonts w:ascii="宋体"/>
                <w:b/>
                <w:color w:val="000000"/>
                <w:sz w:val="20"/>
                <w:szCs w:val="20"/>
                <w:u w:val="single"/>
              </w:rPr>
            </w:pPr>
            <w:r>
              <w:rPr>
                <w:rFonts w:ascii="宋体" w:hAnsi="宋体"/>
                <w:b/>
                <w:color w:val="000000"/>
                <w:sz w:val="20"/>
                <w:szCs w:val="20"/>
              </w:rPr>
              <w:t>E：隔离栅、防眩网、防眩板、声屏障的生产及销售所涉及场所的相关环境管理活动</w:t>
            </w:r>
          </w:p>
          <w:p>
            <w:pPr>
              <w:bidi w:val="0"/>
              <w:rPr>
                <w:rFonts w:hint="eastAsia"/>
              </w:rPr>
            </w:pPr>
            <w:r>
              <w:rPr>
                <w:rFonts w:ascii="宋体" w:hAnsi="宋体"/>
                <w:b/>
                <w:color w:val="000000"/>
                <w:sz w:val="20"/>
                <w:szCs w:val="20"/>
              </w:rPr>
              <w:t>O：隔离栅、防眩网、防眩板、声屏障的生产及销售所涉及场所的相关职业健康安全管理活动</w:t>
            </w:r>
          </w:p>
          <w:p>
            <w:pPr>
              <w:rPr>
                <w:rFonts w:hint="eastAsia"/>
              </w:rPr>
            </w:pPr>
            <w:r>
              <w:rPr>
                <w:rFonts w:hint="eastAsia"/>
                <w:lang w:eastAsia="zh-CN"/>
              </w:rPr>
              <w:t>□</w:t>
            </w:r>
            <w:r>
              <w:rPr>
                <w:rFonts w:hint="eastAsia"/>
              </w:rPr>
              <w:t>审核范围变更，</w:t>
            </w:r>
          </w:p>
          <w:p>
            <w:pPr>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7"/>
        <w:keepNext w:val="0"/>
        <w:keepLines w:val="0"/>
        <w:pageBreakBefore w:val="0"/>
        <w:kinsoku/>
        <w:wordWrap/>
        <w:overflowPunct/>
        <w:topLinePunct w:val="0"/>
        <w:autoSpaceDE/>
        <w:autoSpaceDN/>
        <w:bidi w:val="0"/>
        <w:adjustRightInd/>
        <w:spacing w:line="360" w:lineRule="exact"/>
        <w:ind w:left="-67" w:leftChars="-472" w:hanging="924" w:hangingChars="354"/>
        <w:textAlignment w:val="auto"/>
        <w:rPr>
          <w:rFonts w:ascii="仿宋" w:hAnsi="仿宋" w:eastAsia="仿宋"/>
          <w:color w:val="000000" w:themeColor="text1"/>
          <w:kern w:val="24"/>
          <w:sz w:val="28"/>
          <w:szCs w:val="28"/>
        </w:rPr>
      </w:pPr>
      <w:r>
        <w:rPr>
          <w:rFonts w:hint="eastAsia" w:ascii="Times New Roman" w:hAnsi="Times New Roman" w:eastAsia="宋体" w:cs="Times New Roman"/>
          <w:b/>
          <w:color w:val="000000" w:themeColor="text1"/>
          <w:kern w:val="2"/>
          <w:sz w:val="26"/>
          <w:szCs w:val="26"/>
          <w:lang w:val="en-US" w:eastAsia="zh-CN" w:bidi="ar-SA"/>
        </w:rPr>
        <w:t>十一、审核基于对可获得信息的抽样过程的免责声明</w:t>
      </w:r>
      <w:r>
        <w:rPr>
          <w:rFonts w:hint="eastAsia" w:ascii="仿宋" w:hAnsi="仿宋" w:eastAsia="仿宋"/>
          <w:color w:val="000000" w:themeColor="text1"/>
          <w:kern w:val="24"/>
          <w:sz w:val="28"/>
          <w:szCs w:val="28"/>
        </w:rPr>
        <w:t xml:space="preserve"> </w:t>
      </w:r>
    </w:p>
    <w:p>
      <w:pPr>
        <w:keepNext w:val="0"/>
        <w:keepLines w:val="0"/>
        <w:pageBreakBefore w:val="0"/>
        <w:kinsoku/>
        <w:wordWrap/>
        <w:overflowPunct/>
        <w:topLinePunct w:val="0"/>
        <w:autoSpaceDE/>
        <w:autoSpaceDN/>
        <w:bidi w:val="0"/>
        <w:adjustRightInd/>
        <w:snapToGrid w:val="0"/>
        <w:spacing w:line="360" w:lineRule="exact"/>
        <w:jc w:val="left"/>
        <w:textAlignment w:val="auto"/>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keepNext w:val="0"/>
        <w:keepLines w:val="0"/>
        <w:pageBreakBefore w:val="0"/>
        <w:tabs>
          <w:tab w:val="left" w:pos="645"/>
        </w:tabs>
        <w:kinsoku/>
        <w:wordWrap/>
        <w:overflowPunct/>
        <w:topLinePunct w:val="0"/>
        <w:autoSpaceDE/>
        <w:autoSpaceDN/>
        <w:bidi w:val="0"/>
        <w:adjustRightInd/>
        <w:spacing w:line="360" w:lineRule="exact"/>
        <w:ind w:left="-850" w:leftChars="-405"/>
        <w:textAlignment w:val="auto"/>
        <w:rPr>
          <w:rFonts w:hint="eastAsia"/>
          <w:b/>
          <w:color w:val="000000" w:themeColor="text1"/>
          <w:sz w:val="26"/>
          <w:szCs w:val="26"/>
        </w:rPr>
      </w:pPr>
    </w:p>
    <w:p>
      <w:pPr>
        <w:keepNext w:val="0"/>
        <w:keepLines w:val="0"/>
        <w:pageBreakBefore w:val="0"/>
        <w:tabs>
          <w:tab w:val="left" w:pos="645"/>
        </w:tabs>
        <w:kinsoku/>
        <w:wordWrap/>
        <w:overflowPunct/>
        <w:topLinePunct w:val="0"/>
        <w:autoSpaceDE/>
        <w:autoSpaceDN/>
        <w:bidi w:val="0"/>
        <w:adjustRightInd/>
        <w:spacing w:line="360" w:lineRule="exact"/>
        <w:ind w:left="-850" w:leftChars="-405"/>
        <w:textAlignment w:val="auto"/>
        <w:rPr>
          <w:b/>
          <w:color w:val="000000" w:themeColor="text1"/>
          <w:sz w:val="14"/>
          <w:szCs w:val="14"/>
        </w:rPr>
      </w:pPr>
      <w:r>
        <w:rPr>
          <w:rFonts w:hint="eastAsia"/>
          <w:b/>
          <w:color w:val="000000" w:themeColor="text1"/>
          <w:sz w:val="26"/>
          <w:szCs w:val="26"/>
        </w:rPr>
        <w:t>十二、不符合项纠正措施要求</w:t>
      </w:r>
    </w:p>
    <w:p>
      <w:pPr>
        <w:keepNext w:val="0"/>
        <w:keepLines w:val="0"/>
        <w:pageBreakBefore w:val="0"/>
        <w:kinsoku/>
        <w:wordWrap/>
        <w:overflowPunct/>
        <w:topLinePunct w:val="0"/>
        <w:autoSpaceDE/>
        <w:autoSpaceDN/>
        <w:bidi w:val="0"/>
        <w:adjustRightInd/>
        <w:spacing w:line="360" w:lineRule="exact"/>
        <w:ind w:left="-850" w:leftChars="-405" w:firstLine="422" w:firstLineChars="200"/>
        <w:textAlignment w:val="auto"/>
        <w:rPr>
          <w:rFonts w:hint="eastAsia"/>
          <w:b/>
          <w:color w:val="000000" w:themeColor="text1"/>
          <w:sz w:val="26"/>
          <w:szCs w:val="26"/>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keepNext w:val="0"/>
        <w:keepLines w:val="0"/>
        <w:pageBreakBefore w:val="0"/>
        <w:kinsoku/>
        <w:wordWrap/>
        <w:overflowPunct/>
        <w:topLinePunct w:val="0"/>
        <w:autoSpaceDE/>
        <w:autoSpaceDN/>
        <w:bidi w:val="0"/>
        <w:adjustRightInd/>
        <w:spacing w:beforeLines="50" w:afterLines="50" w:line="360" w:lineRule="exact"/>
        <w:ind w:left="1" w:leftChars="-405" w:hanging="851" w:hangingChars="326"/>
        <w:textAlignment w:val="auto"/>
        <w:rPr>
          <w:rFonts w:hint="default" w:eastAsia="宋体"/>
          <w:b/>
          <w:color w:val="000000" w:themeColor="text1"/>
          <w:sz w:val="16"/>
          <w:szCs w:val="16"/>
          <w:lang w:val="en-US" w:eastAsia="zh-CN"/>
        </w:rPr>
      </w:pPr>
      <w:r>
        <w:rPr>
          <w:rFonts w:hint="eastAsia"/>
          <w:b/>
          <w:color w:val="000000" w:themeColor="text1"/>
          <w:sz w:val="26"/>
          <w:szCs w:val="26"/>
        </w:rPr>
        <w:t>十三、 任何影响审核方案的重要事项</w:t>
      </w:r>
      <w:r>
        <w:rPr>
          <w:rFonts w:hint="eastAsia"/>
          <w:b/>
          <w:color w:val="000000" w:themeColor="text1"/>
          <w:sz w:val="16"/>
          <w:szCs w:val="16"/>
          <w:lang w:val="en-US" w:eastAsia="zh-CN"/>
        </w:rPr>
        <w:t xml:space="preserve">        </w:t>
      </w:r>
    </w:p>
    <w:p>
      <w:pPr>
        <w:bidi w:val="0"/>
        <w:rPr>
          <w:rFonts w:hint="eastAsia"/>
          <w:lang w:val="en-US" w:eastAsia="zh-CN"/>
        </w:rPr>
      </w:pPr>
      <w:r>
        <w:rPr>
          <w:rFonts w:hint="eastAsia"/>
          <w:lang w:val="en-US" w:eastAsia="zh-CN"/>
        </w:rPr>
        <w:t>无</w:t>
      </w:r>
    </w:p>
    <w:p>
      <w:pPr>
        <w:bidi w:val="0"/>
        <w:rPr>
          <w:rFonts w:hint="eastAsia"/>
          <w:lang w:val="en-US" w:eastAsia="zh-CN"/>
        </w:rPr>
      </w:pPr>
    </w:p>
    <w:p>
      <w:pPr>
        <w:keepNext w:val="0"/>
        <w:keepLines w:val="0"/>
        <w:pageBreakBefore w:val="0"/>
        <w:kinsoku/>
        <w:wordWrap/>
        <w:overflowPunct/>
        <w:topLinePunct w:val="0"/>
        <w:autoSpaceDE/>
        <w:autoSpaceDN/>
        <w:bidi w:val="0"/>
        <w:adjustRightInd/>
        <w:snapToGrid w:val="0"/>
        <w:spacing w:afterLines="50" w:line="360" w:lineRule="exact"/>
        <w:ind w:left="1" w:leftChars="-405" w:hanging="851" w:hangingChars="326"/>
        <w:textAlignment w:val="auto"/>
        <w:rPr>
          <w:rFonts w:hint="eastAsia"/>
          <w:b/>
          <w:color w:val="000000" w:themeColor="text1"/>
          <w:sz w:val="26"/>
          <w:szCs w:val="26"/>
        </w:rPr>
      </w:pPr>
    </w:p>
    <w:p>
      <w:pPr>
        <w:keepNext w:val="0"/>
        <w:keepLines w:val="0"/>
        <w:pageBreakBefore w:val="0"/>
        <w:kinsoku/>
        <w:wordWrap/>
        <w:overflowPunct/>
        <w:topLinePunct w:val="0"/>
        <w:autoSpaceDE/>
        <w:autoSpaceDN/>
        <w:bidi w:val="0"/>
        <w:adjustRightInd/>
        <w:snapToGrid w:val="0"/>
        <w:spacing w:afterLines="50" w:line="360" w:lineRule="exact"/>
        <w:ind w:left="1" w:leftChars="-405" w:hanging="851" w:hangingChars="326"/>
        <w:textAlignment w:val="auto"/>
        <w:rPr>
          <w:rFonts w:hint="eastAsia"/>
          <w:b/>
          <w:color w:val="000000" w:themeColor="text1"/>
          <w:sz w:val="26"/>
          <w:szCs w:val="26"/>
        </w:rPr>
      </w:pPr>
    </w:p>
    <w:p>
      <w:pPr>
        <w:keepNext w:val="0"/>
        <w:keepLines w:val="0"/>
        <w:pageBreakBefore w:val="0"/>
        <w:kinsoku/>
        <w:wordWrap/>
        <w:overflowPunct/>
        <w:topLinePunct w:val="0"/>
        <w:autoSpaceDE/>
        <w:autoSpaceDN/>
        <w:bidi w:val="0"/>
        <w:adjustRightInd/>
        <w:snapToGrid w:val="0"/>
        <w:spacing w:afterLines="50" w:line="360" w:lineRule="exact"/>
        <w:ind w:left="-163" w:leftChars="-405" w:hanging="687" w:hangingChars="326"/>
        <w:textAlignment w:val="auto"/>
        <w:rPr>
          <w:b/>
          <w:color w:val="000000" w:themeColor="text1"/>
          <w:sz w:val="16"/>
          <w:szCs w:val="16"/>
        </w:rPr>
      </w:pPr>
      <w:r>
        <w:rPr>
          <w:rFonts w:hint="eastAsia" w:eastAsia="宋体"/>
          <w:b/>
          <w:color w:val="000000" w:themeColor="text1"/>
          <w:lang w:eastAsia="zh-CN"/>
        </w:rPr>
        <w:drawing>
          <wp:anchor distT="0" distB="0" distL="114300" distR="114300" simplePos="0" relativeHeight="251660288" behindDoc="0" locked="0" layoutInCell="1" allowOverlap="1">
            <wp:simplePos x="0" y="0"/>
            <wp:positionH relativeFrom="column">
              <wp:posOffset>1485265</wp:posOffset>
            </wp:positionH>
            <wp:positionV relativeFrom="paragraph">
              <wp:posOffset>128270</wp:posOffset>
            </wp:positionV>
            <wp:extent cx="1163955" cy="56070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163955" cy="560705"/>
                    </a:xfrm>
                    <a:prstGeom prst="rect">
                      <a:avLst/>
                    </a:prstGeom>
                  </pic:spPr>
                </pic:pic>
              </a:graphicData>
            </a:graphic>
          </wp:anchor>
        </w:drawing>
      </w:r>
      <w:r>
        <w:rPr>
          <w:rFonts w:hint="eastAsia"/>
          <w:b/>
          <w:color w:val="000000" w:themeColor="text1"/>
          <w:sz w:val="26"/>
          <w:szCs w:val="26"/>
        </w:rPr>
        <w:t>十四、审核组签字</w:t>
      </w:r>
    </w:p>
    <w:p>
      <w:pPr>
        <w:keepNext w:val="0"/>
        <w:keepLines w:val="0"/>
        <w:pageBreakBefore w:val="0"/>
        <w:kinsoku/>
        <w:wordWrap/>
        <w:overflowPunct/>
        <w:topLinePunct w:val="0"/>
        <w:autoSpaceDE/>
        <w:autoSpaceDN/>
        <w:bidi w:val="0"/>
        <w:adjustRightInd/>
        <w:snapToGrid w:val="0"/>
        <w:spacing w:afterLines="50" w:line="360" w:lineRule="exact"/>
        <w:ind w:left="1" w:leftChars="-32" w:hanging="68" w:hangingChars="26"/>
        <w:textAlignment w:val="auto"/>
        <w:rPr>
          <w:rFonts w:hint="eastAsia" w:eastAsia="宋体"/>
          <w:b/>
          <w:color w:val="000000" w:themeColor="text1"/>
          <w:lang w:eastAsia="zh-CN"/>
        </w:rPr>
      </w:pPr>
      <w:r>
        <w:rPr>
          <w:rFonts w:hint="eastAsia"/>
          <w:b/>
          <w:color w:val="000000" w:themeColor="text1"/>
          <w:sz w:val="26"/>
          <w:szCs w:val="26"/>
        </w:rPr>
        <w:t>审核组组长（签名）：</w:t>
      </w:r>
    </w:p>
    <w:p>
      <w:pPr>
        <w:keepNext w:val="0"/>
        <w:keepLines w:val="0"/>
        <w:pageBreakBefore w:val="0"/>
        <w:kinsoku/>
        <w:wordWrap/>
        <w:overflowPunct/>
        <w:topLinePunct w:val="0"/>
        <w:autoSpaceDE/>
        <w:autoSpaceDN/>
        <w:bidi w:val="0"/>
        <w:adjustRightInd/>
        <w:snapToGrid w:val="0"/>
        <w:spacing w:afterLines="50" w:line="360" w:lineRule="exact"/>
        <w:textAlignment w:val="auto"/>
        <w:rPr>
          <w:rFonts w:hint="eastAsia"/>
          <w:b/>
          <w:color w:val="000000" w:themeColor="text1"/>
          <w:sz w:val="26"/>
          <w:szCs w:val="26"/>
        </w:rPr>
      </w:pPr>
      <w:r>
        <w:drawing>
          <wp:anchor distT="0" distB="0" distL="114300" distR="114300" simplePos="0" relativeHeight="251661312" behindDoc="0" locked="0" layoutInCell="1" allowOverlap="1">
            <wp:simplePos x="0" y="0"/>
            <wp:positionH relativeFrom="column">
              <wp:posOffset>1760220</wp:posOffset>
            </wp:positionH>
            <wp:positionV relativeFrom="paragraph">
              <wp:posOffset>107315</wp:posOffset>
            </wp:positionV>
            <wp:extent cx="825500" cy="596900"/>
            <wp:effectExtent l="0" t="0" r="0" b="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825500" cy="596900"/>
                    </a:xfrm>
                    <a:prstGeom prst="rect">
                      <a:avLst/>
                    </a:prstGeom>
                    <a:noFill/>
                    <a:ln>
                      <a:noFill/>
                    </a:ln>
                  </pic:spPr>
                </pic:pic>
              </a:graphicData>
            </a:graphic>
          </wp:anchor>
        </w:drawing>
      </w:r>
    </w:p>
    <w:p>
      <w:pPr>
        <w:keepNext w:val="0"/>
        <w:keepLines w:val="0"/>
        <w:pageBreakBefore w:val="0"/>
        <w:kinsoku/>
        <w:wordWrap/>
        <w:overflowPunct/>
        <w:topLinePunct w:val="0"/>
        <w:autoSpaceDE/>
        <w:autoSpaceDN/>
        <w:bidi w:val="0"/>
        <w:adjustRightInd/>
        <w:snapToGrid w:val="0"/>
        <w:spacing w:afterLines="50" w:line="360" w:lineRule="exact"/>
        <w:ind w:left="1" w:leftChars="-32" w:hanging="68" w:hangingChars="26"/>
        <w:textAlignment w:val="auto"/>
        <w:rPr>
          <w:rFonts w:hint="default" w:eastAsia="宋体"/>
          <w:b/>
          <w:color w:val="000000" w:themeColor="text1"/>
          <w:sz w:val="26"/>
          <w:szCs w:val="26"/>
          <w:lang w:val="en-US" w:eastAsia="zh-CN"/>
        </w:rPr>
      </w:pPr>
      <w:r>
        <w:rPr>
          <w:rFonts w:hint="eastAsia"/>
          <w:b/>
          <w:color w:val="000000" w:themeColor="text1"/>
          <w:sz w:val="26"/>
          <w:szCs w:val="26"/>
        </w:rPr>
        <w:t>审核组组员（签名）：</w:t>
      </w:r>
    </w:p>
    <w:p>
      <w:pPr>
        <w:keepNext w:val="0"/>
        <w:keepLines w:val="0"/>
        <w:pageBreakBefore w:val="0"/>
        <w:kinsoku/>
        <w:wordWrap/>
        <w:overflowPunct/>
        <w:topLinePunct w:val="0"/>
        <w:autoSpaceDE/>
        <w:autoSpaceDN/>
        <w:bidi w:val="0"/>
        <w:adjustRightInd/>
        <w:snapToGrid w:val="0"/>
        <w:spacing w:line="360" w:lineRule="exact"/>
        <w:ind w:firstLine="4554" w:firstLineChars="2160"/>
        <w:textAlignment w:val="auto"/>
        <w:rPr>
          <w:rFonts w:hint="eastAsia"/>
          <w:b/>
          <w:color w:val="000000" w:themeColor="text1"/>
          <w:sz w:val="26"/>
          <w:szCs w:val="2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18</w:t>
      </w:r>
      <w:r>
        <w:rPr>
          <w:rFonts w:hint="eastAsia" w:asciiTheme="minorEastAsia" w:hAnsiTheme="minorEastAsia" w:eastAsiaTheme="minorEastAsia"/>
          <w:b/>
          <w:color w:val="000000" w:themeColor="text1"/>
        </w:rPr>
        <w:t>日</w:t>
      </w:r>
    </w:p>
    <w:p>
      <w:pPr>
        <w:keepNext w:val="0"/>
        <w:keepLines w:val="0"/>
        <w:pageBreakBefore w:val="0"/>
        <w:kinsoku/>
        <w:wordWrap/>
        <w:overflowPunct/>
        <w:topLinePunct w:val="0"/>
        <w:autoSpaceDE/>
        <w:autoSpaceDN/>
        <w:bidi w:val="0"/>
        <w:adjustRightInd/>
        <w:spacing w:beforeLines="50" w:afterLines="50" w:line="360" w:lineRule="exact"/>
        <w:ind w:left="1" w:leftChars="-405" w:hanging="851" w:hangingChars="326"/>
        <w:textAlignment w:val="auto"/>
        <w:rPr>
          <w:b/>
          <w:color w:val="000000" w:themeColor="text1"/>
          <w:sz w:val="26"/>
          <w:szCs w:val="26"/>
        </w:rPr>
      </w:pPr>
      <w:r>
        <w:rPr>
          <w:rFonts w:hint="eastAsia"/>
          <w:b/>
          <w:color w:val="000000" w:themeColor="text1"/>
          <w:sz w:val="26"/>
          <w:szCs w:val="26"/>
        </w:rPr>
        <w:t>十五、纠正措施验证结论</w:t>
      </w:r>
    </w:p>
    <w:p>
      <w:pPr>
        <w:keepNext w:val="0"/>
        <w:keepLines w:val="0"/>
        <w:pageBreakBefore w:val="0"/>
        <w:widowControl w:val="0"/>
        <w:numPr>
          <w:ilvl w:val="0"/>
          <w:numId w:val="0"/>
        </w:numPr>
        <w:kinsoku/>
        <w:wordWrap/>
        <w:overflowPunct/>
        <w:topLinePunct w:val="0"/>
        <w:autoSpaceDE/>
        <w:autoSpaceDN/>
        <w:bidi w:val="0"/>
        <w:adjustRightInd/>
        <w:spacing w:beforeLines="50" w:afterLines="50" w:line="360" w:lineRule="exact"/>
        <w:ind w:leftChars="-231"/>
        <w:textAlignment w:val="auto"/>
        <w:rPr>
          <w:rFonts w:hint="eastAsia"/>
          <w:b/>
          <w:sz w:val="21"/>
          <w:szCs w:val="21"/>
        </w:rPr>
      </w:pPr>
      <w:r>
        <w:rPr>
          <w:rFonts w:hint="eastAsia"/>
          <w:b/>
          <w:bCs/>
          <w:color w:val="000000" w:themeColor="text1"/>
          <w:szCs w:val="21"/>
        </w:rPr>
        <w:t xml:space="preserve">1.  </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keepNext w:val="0"/>
        <w:keepLines w:val="0"/>
        <w:pageBreakBefore w:val="0"/>
        <w:widowControl w:val="0"/>
        <w:numPr>
          <w:ilvl w:val="0"/>
          <w:numId w:val="0"/>
        </w:numPr>
        <w:kinsoku/>
        <w:wordWrap/>
        <w:overflowPunct/>
        <w:topLinePunct w:val="0"/>
        <w:autoSpaceDE/>
        <w:autoSpaceDN/>
        <w:bidi w:val="0"/>
        <w:adjustRightInd/>
        <w:spacing w:beforeLines="50" w:afterLines="50" w:line="360" w:lineRule="exact"/>
        <w:textAlignment w:val="auto"/>
        <w:rPr>
          <w:rFonts w:hint="eastAsia"/>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 xml:space="preserve">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keepNext w:val="0"/>
        <w:keepLines w:val="0"/>
        <w:pageBreakBefore w:val="0"/>
        <w:widowControl w:val="0"/>
        <w:kinsoku/>
        <w:wordWrap/>
        <w:overflowPunct/>
        <w:topLinePunct w:val="0"/>
        <w:autoSpaceDE/>
        <w:autoSpaceDN/>
        <w:bidi w:val="0"/>
        <w:adjustRightInd/>
        <w:snapToGrid w:val="0"/>
        <w:spacing w:beforeLines="50" w:afterLines="50" w:line="360" w:lineRule="exact"/>
        <w:textAlignment w:val="auto"/>
        <w:rPr>
          <w:b/>
          <w:color w:val="000000" w:themeColor="text1"/>
          <w:sz w:val="26"/>
          <w:szCs w:val="26"/>
        </w:rPr>
      </w:pPr>
      <w:r>
        <w:rPr>
          <w:rFonts w:hint="eastAsia"/>
          <w:b/>
          <w:bCs/>
          <w:sz w:val="21"/>
          <w:szCs w:val="21"/>
        </w:rPr>
        <w:t>审核中发现的</w:t>
      </w:r>
      <w:r>
        <w:rPr>
          <w:rFonts w:hint="eastAsia"/>
          <w:b/>
          <w:sz w:val="21"/>
          <w:szCs w:val="21"/>
          <w:lang w:eastAsia="zh-CN"/>
        </w:rPr>
        <w:t>☑</w:t>
      </w:r>
      <w:r>
        <w:rPr>
          <w:b/>
          <w:sz w:val="21"/>
          <w:szCs w:val="21"/>
        </w:rPr>
        <w:t>OHSMS (</w:t>
      </w:r>
      <w:r>
        <w:rPr>
          <w:rFonts w:hint="eastAsia"/>
          <w:b/>
          <w:sz w:val="21"/>
          <w:szCs w:val="21"/>
          <w:lang w:val="en-US" w:eastAsia="zh-CN"/>
        </w:rPr>
        <w:t>1</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keepNext w:val="0"/>
        <w:keepLines w:val="0"/>
        <w:pageBreakBefore w:val="0"/>
        <w:widowControl w:val="0"/>
        <w:kinsoku/>
        <w:wordWrap/>
        <w:overflowPunct/>
        <w:topLinePunct w:val="0"/>
        <w:autoSpaceDE/>
        <w:autoSpaceDN/>
        <w:bidi w:val="0"/>
        <w:adjustRightInd/>
        <w:spacing w:line="360" w:lineRule="exact"/>
        <w:textAlignment w:val="auto"/>
        <w:rPr>
          <w:b/>
          <w:color w:val="000000" w:themeColor="text1"/>
          <w:szCs w:val="21"/>
          <w:u w:val="single"/>
        </w:rPr>
      </w:pPr>
      <w:r>
        <w:rPr>
          <w:rFonts w:hint="eastAsia"/>
          <w:b/>
          <w:color w:val="000000" w:themeColor="text1"/>
          <w:szCs w:val="21"/>
        </w:rPr>
        <w:t>存在问题说明及意见：</w:t>
      </w:r>
    </w:p>
    <w:p>
      <w:pPr>
        <w:keepNext w:val="0"/>
        <w:keepLines w:val="0"/>
        <w:pageBreakBefore w:val="0"/>
        <w:widowControl w:val="0"/>
        <w:kinsoku/>
        <w:wordWrap/>
        <w:overflowPunct/>
        <w:topLinePunct w:val="0"/>
        <w:autoSpaceDE/>
        <w:autoSpaceDN/>
        <w:bidi w:val="0"/>
        <w:adjustRightInd/>
        <w:spacing w:afterLines="50" w:line="360" w:lineRule="exact"/>
        <w:ind w:leftChars="-202" w:hanging="424" w:hangingChars="201"/>
        <w:textAlignment w:val="auto"/>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keepNext w:val="0"/>
        <w:keepLines w:val="0"/>
        <w:pageBreakBefore w:val="0"/>
        <w:widowControl w:val="0"/>
        <w:kinsoku/>
        <w:wordWrap/>
        <w:overflowPunct/>
        <w:topLinePunct w:val="0"/>
        <w:autoSpaceDE/>
        <w:autoSpaceDN/>
        <w:bidi w:val="0"/>
        <w:adjustRightInd/>
        <w:spacing w:line="360" w:lineRule="exact"/>
        <w:ind w:firstLine="763" w:firstLineChars="400"/>
        <w:textAlignment w:val="auto"/>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keepNext w:val="0"/>
        <w:keepLines w:val="0"/>
        <w:pageBreakBefore w:val="0"/>
        <w:widowControl w:val="0"/>
        <w:kinsoku/>
        <w:wordWrap/>
        <w:overflowPunct/>
        <w:topLinePunct w:val="0"/>
        <w:autoSpaceDE/>
        <w:autoSpaceDN/>
        <w:bidi w:val="0"/>
        <w:adjustRightInd/>
        <w:spacing w:beforeLines="100" w:afterLines="50" w:line="360" w:lineRule="exact"/>
        <w:textAlignment w:val="auto"/>
        <w:rPr>
          <w:b/>
          <w:color w:val="000000" w:themeColor="text1"/>
          <w:szCs w:val="21"/>
        </w:rPr>
      </w:pPr>
      <w:r>
        <w:rPr>
          <w:rFonts w:hint="eastAsia" w:eastAsia="宋体"/>
          <w:b/>
          <w:color w:val="000000" w:themeColor="text1"/>
          <w:lang w:eastAsia="zh-CN"/>
        </w:rPr>
        <w:drawing>
          <wp:anchor distT="0" distB="0" distL="114300" distR="114300" simplePos="0" relativeHeight="251662336" behindDoc="0" locked="0" layoutInCell="1" allowOverlap="1">
            <wp:simplePos x="0" y="0"/>
            <wp:positionH relativeFrom="column">
              <wp:posOffset>742950</wp:posOffset>
            </wp:positionH>
            <wp:positionV relativeFrom="paragraph">
              <wp:posOffset>5715</wp:posOffset>
            </wp:positionV>
            <wp:extent cx="1163955" cy="560705"/>
            <wp:effectExtent l="0" t="0" r="0" b="0"/>
            <wp:wrapNone/>
            <wp:docPr id="5" name="图片 5"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0904151347"/>
                    <pic:cNvPicPr>
                      <a:picLocks noChangeAspect="1"/>
                    </pic:cNvPicPr>
                  </pic:nvPicPr>
                  <pic:blipFill>
                    <a:blip r:embed="rId6"/>
                    <a:stretch>
                      <a:fillRect/>
                    </a:stretch>
                  </pic:blipFill>
                  <pic:spPr>
                    <a:xfrm>
                      <a:off x="0" y="0"/>
                      <a:ext cx="1163955" cy="560705"/>
                    </a:xfrm>
                    <a:prstGeom prst="rect">
                      <a:avLst/>
                    </a:prstGeom>
                  </pic:spPr>
                </pic:pic>
              </a:graphicData>
            </a:graphic>
          </wp:anchor>
        </w:drawing>
      </w:r>
      <w:r>
        <w:rPr>
          <w:rFonts w:hint="eastAsia"/>
          <w:b/>
          <w:color w:val="000000" w:themeColor="text1"/>
          <w:szCs w:val="21"/>
        </w:rPr>
        <w:t xml:space="preserve">组长签字:                            </w:t>
      </w:r>
      <w:r>
        <w:rPr>
          <w:rFonts w:hint="eastAsia"/>
          <w:b/>
          <w:color w:val="000000" w:themeColor="text1"/>
          <w:szCs w:val="21"/>
          <w:lang w:val="en-US" w:eastAsia="zh-CN"/>
        </w:rPr>
        <w:t xml:space="preserve">     </w:t>
      </w:r>
      <w:r>
        <w:rPr>
          <w:rFonts w:hint="eastAsia"/>
          <w:b/>
          <w:color w:val="000000" w:themeColor="text1"/>
          <w:szCs w:val="21"/>
        </w:rPr>
        <w:t xml:space="preserve">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 xml:space="preserve"> 7</w:t>
      </w:r>
      <w:r>
        <w:rPr>
          <w:rFonts w:hint="eastAsia"/>
          <w:b/>
          <w:color w:val="000000" w:themeColor="text1"/>
          <w:szCs w:val="21"/>
        </w:rPr>
        <w:t>月</w:t>
      </w:r>
      <w:r>
        <w:rPr>
          <w:rFonts w:hint="eastAsia"/>
          <w:b/>
          <w:color w:val="000000" w:themeColor="text1"/>
          <w:szCs w:val="21"/>
          <w:lang w:val="en-US" w:eastAsia="zh-CN"/>
        </w:rPr>
        <w:t>23</w:t>
      </w:r>
      <w:r>
        <w:rPr>
          <w:rFonts w:hint="eastAsia"/>
          <w:b/>
          <w:color w:val="000000" w:themeColor="text1"/>
          <w:szCs w:val="21"/>
        </w:rPr>
        <w:t>日</w:t>
      </w:r>
    </w:p>
    <w:p>
      <w:pPr>
        <w:spacing w:line="360" w:lineRule="auto"/>
        <w:ind w:leftChars="-405" w:hanging="1052" w:hangingChars="403"/>
        <w:rPr>
          <w:rFonts w:hint="eastAsia"/>
          <w:b/>
          <w:color w:val="000000" w:themeColor="text1"/>
          <w:sz w:val="26"/>
          <w:szCs w:val="26"/>
        </w:rPr>
      </w:pP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lang w:val="en-US" w:eastAsia="zh-CN"/>
        </w:rPr>
        <w:t xml:space="preserve">  </w:t>
      </w:r>
      <w:r>
        <w:rPr>
          <w:rFonts w:hint="eastAsia"/>
          <w:b/>
          <w:color w:val="000000" w:themeColor="text1"/>
        </w:rPr>
        <w:t>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hint="eastAsia"/>
          <w:b/>
          <w:color w:val="000000" w:themeColor="text1"/>
          <w:sz w:val="26"/>
          <w:szCs w:val="26"/>
        </w:rPr>
      </w:pP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spacing w:line="360" w:lineRule="auto"/>
        <w:ind w:left="1" w:leftChars="-405" w:hanging="851" w:hangingChars="326"/>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4" w:name="_Hlk8555230"/>
    <w:r>
      <w:pict>
        <v:shape id="文本框 1" o:spid="_x0000_s2050"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4"/>
  </w:p>
  <w:p>
    <w:pPr>
      <w:pStyle w:val="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912EFB11"/>
    <w:multiLevelType w:val="singleLevel"/>
    <w:tmpl w:val="912EFB11"/>
    <w:lvl w:ilvl="0" w:tentative="0">
      <w:start w:val="4"/>
      <w:numFmt w:val="decimal"/>
      <w:lvlText w:val="%1."/>
      <w:lvlJc w:val="left"/>
      <w:pPr>
        <w:tabs>
          <w:tab w:val="left" w:pos="312"/>
        </w:tabs>
      </w:pPr>
    </w:lvl>
  </w:abstractNum>
  <w:abstractNum w:abstractNumId="2">
    <w:nsid w:val="C74FEE95"/>
    <w:multiLevelType w:val="singleLevel"/>
    <w:tmpl w:val="C74FEE95"/>
    <w:lvl w:ilvl="0" w:tentative="0">
      <w:start w:val="2"/>
      <w:numFmt w:val="decimal"/>
      <w:suff w:val="nothing"/>
      <w:lvlText w:val="%1、"/>
      <w:lvlJc w:val="left"/>
    </w:lvl>
  </w:abstractNum>
  <w:abstractNum w:abstractNumId="3">
    <w:nsid w:val="04016EC4"/>
    <w:multiLevelType w:val="singleLevel"/>
    <w:tmpl w:val="04016EC4"/>
    <w:lvl w:ilvl="0" w:tentative="0">
      <w:start w:val="2"/>
      <w:numFmt w:val="decimal"/>
      <w:lvlText w:val="%1."/>
      <w:lvlJc w:val="left"/>
      <w:pPr>
        <w:tabs>
          <w:tab w:val="left" w:pos="312"/>
        </w:tabs>
      </w:pPr>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73FC62"/>
    <w:multiLevelType w:val="singleLevel"/>
    <w:tmpl w:val="5F73FC62"/>
    <w:lvl w:ilvl="0" w:tentative="0">
      <w:start w:val="9"/>
      <w:numFmt w:val="decimal"/>
      <w:suff w:val="space"/>
      <w:lvlText w:val="%1."/>
      <w:lvlJc w:val="left"/>
    </w:lvl>
  </w:abstractNum>
  <w:abstractNum w:abstractNumId="7">
    <w:nsid w:val="7BC294AD"/>
    <w:multiLevelType w:val="singleLevel"/>
    <w:tmpl w:val="7BC294AD"/>
    <w:lvl w:ilvl="0" w:tentative="0">
      <w:start w:val="5"/>
      <w:numFmt w:val="decimal"/>
      <w:suff w:val="space"/>
      <w:lvlText w:val="%1."/>
      <w:lvlJc w:val="left"/>
    </w:lvl>
  </w:abstractNum>
  <w:num w:numId="1">
    <w:abstractNumId w:val="4"/>
  </w:num>
  <w:num w:numId="2">
    <w:abstractNumId w:val="2"/>
  </w:num>
  <w:num w:numId="3">
    <w:abstractNumId w:val="5"/>
  </w:num>
  <w:num w:numId="4">
    <w:abstractNumId w:val="0"/>
  </w:num>
  <w:num w:numId="5">
    <w:abstractNumId w:val="3"/>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712F52"/>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E2D5C"/>
    <w:rsid w:val="00EF1481"/>
    <w:rsid w:val="00F326DC"/>
    <w:rsid w:val="00F32AFF"/>
    <w:rsid w:val="00F64301"/>
    <w:rsid w:val="00F86288"/>
    <w:rsid w:val="00FA5C98"/>
    <w:rsid w:val="00FD38F7"/>
    <w:rsid w:val="00FD6EB5"/>
    <w:rsid w:val="00FF6078"/>
    <w:rsid w:val="079F1A37"/>
    <w:rsid w:val="0A464A37"/>
    <w:rsid w:val="0BDA2519"/>
    <w:rsid w:val="0D8245B3"/>
    <w:rsid w:val="0FBD207B"/>
    <w:rsid w:val="12DE6430"/>
    <w:rsid w:val="16390561"/>
    <w:rsid w:val="1C440198"/>
    <w:rsid w:val="21611269"/>
    <w:rsid w:val="22DF6A1C"/>
    <w:rsid w:val="2F831765"/>
    <w:rsid w:val="38E17875"/>
    <w:rsid w:val="3AFE3AFE"/>
    <w:rsid w:val="3C6210A8"/>
    <w:rsid w:val="3D5A52DA"/>
    <w:rsid w:val="41311C61"/>
    <w:rsid w:val="43F43C52"/>
    <w:rsid w:val="4A927D7E"/>
    <w:rsid w:val="4AF62B75"/>
    <w:rsid w:val="4B4A3A22"/>
    <w:rsid w:val="4BA44912"/>
    <w:rsid w:val="4D004760"/>
    <w:rsid w:val="4EBE37BE"/>
    <w:rsid w:val="5242462D"/>
    <w:rsid w:val="57A97EAC"/>
    <w:rsid w:val="58A67D63"/>
    <w:rsid w:val="58BD1AE1"/>
    <w:rsid w:val="5A653F63"/>
    <w:rsid w:val="5CDD1C2D"/>
    <w:rsid w:val="5F7C586A"/>
    <w:rsid w:val="60F21181"/>
    <w:rsid w:val="6EDA6DA8"/>
    <w:rsid w:val="6F1B4CB1"/>
    <w:rsid w:val="73A50094"/>
    <w:rsid w:val="74621369"/>
    <w:rsid w:val="79D67712"/>
    <w:rsid w:val="7D426E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Indent"/>
    <w:basedOn w:val="1"/>
    <w:qFormat/>
    <w:uiPriority w:val="0"/>
    <w:pPr>
      <w:snapToGrid w:val="0"/>
      <w:spacing w:line="336" w:lineRule="auto"/>
      <w:ind w:firstLine="630"/>
    </w:pPr>
    <w:rPr>
      <w:sz w:val="32"/>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2"/>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8243</Words>
  <Characters>9355</Characters>
  <Lines>36</Lines>
  <Paragraphs>10</Paragraphs>
  <TotalTime>6</TotalTime>
  <ScaleCrop>false</ScaleCrop>
  <LinksUpToDate>false</LinksUpToDate>
  <CharactersWithSpaces>9674</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2019-10-07T03:18:00Z</cp:lastPrinted>
  <dcterms:modified xsi:type="dcterms:W3CDTF">2021-07-23T14:10:00Z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D27562F154284710945D33F77A0FC940</vt:lpwstr>
  </property>
</Properties>
</file>