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00"/>
        <w:gridCol w:w="1253"/>
        <w:gridCol w:w="6"/>
        <w:gridCol w:w="567"/>
        <w:gridCol w:w="1032"/>
        <w:gridCol w:w="210"/>
        <w:gridCol w:w="75"/>
        <w:gridCol w:w="101"/>
        <w:gridCol w:w="497"/>
        <w:gridCol w:w="353"/>
        <w:gridCol w:w="4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河北海通金属丝网制品有限公司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饶阳县王同岳乡马长屯村创业路20号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乔璐璐</w:t>
            </w:r>
            <w:bookmarkEnd w:id="2"/>
          </w:p>
        </w:tc>
        <w:tc>
          <w:tcPr>
            <w:tcW w:w="12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15531889585</w:t>
            </w:r>
            <w:bookmarkEnd w:id="3"/>
          </w:p>
        </w:tc>
        <w:tc>
          <w:tcPr>
            <w:tcW w:w="6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053900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1123263779@qq.com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0722-2021-EO</w:t>
            </w:r>
            <w:bookmarkEnd w:id="8"/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E：隔离栅、防眩网、防眩板、声屏障的生产及销售所涉及场所的相关环境管理活动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O：隔离栅、防眩网、防眩板、声屏障的生产及销售所涉及场所的相关职业健康安全管理活动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E：17.12.03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2021年07月16日 下午至2021年07月18日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2021.7.16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2021.7.17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：组织的岗位、职责权限；目标、指标管理方案；环境因素/危险源识别评价；合规义务；法律法规要求；文件化信息；人员；能力；意识；沟通；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9.2/10.2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2021.7.18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22409"/>
    <w:rsid w:val="2133423D"/>
    <w:rsid w:val="259C3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2021-07-15T06:51:02Z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A75C34D459BD43408D31454A2F0D74D4</vt:lpwstr>
  </property>
</Properties>
</file>