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71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140"/>
        <w:gridCol w:w="2010"/>
        <w:gridCol w:w="723"/>
        <w:gridCol w:w="587"/>
        <w:gridCol w:w="1480"/>
        <w:gridCol w:w="917"/>
        <w:gridCol w:w="333"/>
        <w:gridCol w:w="2574"/>
        <w:gridCol w:w="4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cantSplit/>
          <w:trHeight w:val="719" w:hRule="atLeast"/>
          <w:jc w:val="center"/>
        </w:trPr>
        <w:tc>
          <w:tcPr>
            <w:tcW w:w="20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4800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西安硕隆电子工程技术有限公司</w:t>
            </w:r>
          </w:p>
        </w:tc>
        <w:tc>
          <w:tcPr>
            <w:tcW w:w="125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574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  <w:r>
              <w:rPr>
                <w:b/>
                <w:sz w:val="20"/>
              </w:rPr>
              <w:t>28.04.02;28.07.01;</w:t>
            </w:r>
          </w:p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28.07.03;29.12.00</w:t>
            </w:r>
          </w:p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  <w:r>
              <w:rPr>
                <w:b/>
                <w:sz w:val="20"/>
              </w:rPr>
              <w:t>28.04.02;28.07.01;</w:t>
            </w:r>
          </w:p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28.07.03;29.12.00</w:t>
            </w:r>
          </w:p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  <w:r>
              <w:rPr>
                <w:b/>
                <w:sz w:val="20"/>
              </w:rPr>
              <w:t>28.04.02;28.07.01;</w:t>
            </w:r>
          </w:p>
          <w:p>
            <w:pPr>
              <w:snapToGrid w:val="0"/>
              <w:spacing w:line="280" w:lineRule="exact"/>
              <w:ind w:left="52" w:leftChars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28.07.03;29.12.00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cantSplit/>
          <w:trHeight w:val="807" w:hRule="atLeast"/>
          <w:jc w:val="center"/>
        </w:trPr>
        <w:tc>
          <w:tcPr>
            <w:tcW w:w="20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01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李利、陈飞燕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48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28.04.02;28.07.01;28.07.03;29.12.00</w:t>
            </w:r>
          </w:p>
        </w:tc>
        <w:tc>
          <w:tcPr>
            <w:tcW w:w="125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57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1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01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李利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  <w:tc>
          <w:tcPr>
            <w:tcW w:w="148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57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cantSplit/>
          <w:trHeight w:val="1368" w:hRule="atLeast"/>
          <w:jc w:val="center"/>
        </w:trPr>
        <w:tc>
          <w:tcPr>
            <w:tcW w:w="20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6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施工流程：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</w:rPr>
              <w:t>开工报告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—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材料入场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—</w:t>
            </w:r>
            <w:r>
              <w:rPr>
                <w:rFonts w:hint="eastAsia"/>
                <w:b/>
                <w:sz w:val="20"/>
                <w:szCs w:val="22"/>
              </w:rPr>
              <w:t>敷缆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、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安装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—</w:t>
            </w:r>
            <w:r>
              <w:rPr>
                <w:rFonts w:hint="eastAsia"/>
                <w:b/>
                <w:sz w:val="20"/>
                <w:szCs w:val="22"/>
              </w:rPr>
              <w:t>试验、检验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—</w:t>
            </w:r>
            <w:r>
              <w:rPr>
                <w:rFonts w:hint="eastAsia"/>
                <w:b/>
                <w:sz w:val="20"/>
                <w:szCs w:val="22"/>
              </w:rPr>
              <w:t>交付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销售服务流程：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签订销售合同—实施采购—送货—检验—交付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cantSplit/>
          <w:trHeight w:val="1120" w:hRule="atLeast"/>
          <w:jc w:val="center"/>
        </w:trPr>
        <w:tc>
          <w:tcPr>
            <w:tcW w:w="20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6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安装、验收为关键过程。特殊过程包含隐蔽工程、销售服务过程。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cantSplit/>
          <w:trHeight w:val="1121" w:hRule="atLeast"/>
          <w:jc w:val="center"/>
        </w:trPr>
        <w:tc>
          <w:tcPr>
            <w:tcW w:w="20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624" w:type="dxa"/>
            <w:gridSpan w:val="7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GB 50194-2014建设工程施工现场供用电安全规范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JGJ 33-2012建筑机械使用安全技术规程</w:t>
            </w:r>
          </w:p>
          <w:p>
            <w:pPr>
              <w:snapToGrid w:val="0"/>
              <w:spacing w:line="360" w:lineRule="auto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JGI 46-2005施工现场临时用电安全技术规范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GB50150-2016电气装置安装工程电气设备交接试验标准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GB50172-2012电气装置安装工程 蓄电池施工及验收规范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GB50150-2016电气装置安装工程 电气设备交接试验标准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GB50254-2014电气装置安装工程低压电器施工及验收规范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JGJ 146-2013建设工程施工现场环境与卫生标准动火作业安全管理规范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SY5984-2014防静电推荐做法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SY/T6340-2010石油工程建设施工安全规定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color w:val="000000" w:themeColor="text1"/>
                <w:sz w:val="20"/>
                <w:szCs w:val="20"/>
              </w:rPr>
              <w:t>GB/T 13983-1992仪器仪表基本术语、GB/T 28879-2012电工仪器仪表产品型号编制方法</w:t>
            </w:r>
            <w:r>
              <w:rPr>
                <w:rFonts w:hint="eastAsia"/>
                <w:b/>
                <w:color w:val="000000" w:themeColor="text1"/>
                <w:sz w:val="20"/>
                <w:szCs w:val="20"/>
                <w:lang w:eastAsia="zh-CN"/>
              </w:rPr>
              <w:t>、</w:t>
            </w:r>
            <w:r>
              <w:rPr>
                <w:rFonts w:hint="eastAsia"/>
                <w:b/>
                <w:color w:val="000000" w:themeColor="text1"/>
                <w:sz w:val="20"/>
                <w:szCs w:val="20"/>
              </w:rPr>
              <w:t>GB/T 11804-2005电工电子产品环境条件 术语</w:t>
            </w:r>
            <w:r>
              <w:rPr>
                <w:rFonts w:hint="eastAsia"/>
                <w:b/>
                <w:color w:val="000000" w:themeColor="text1"/>
                <w:sz w:val="20"/>
                <w:szCs w:val="20"/>
                <w:lang w:eastAsia="zh-CN"/>
              </w:rPr>
              <w:t>、</w:t>
            </w:r>
            <w:r>
              <w:rPr>
                <w:rFonts w:hint="eastAsia"/>
                <w:b/>
                <w:color w:val="000000" w:themeColor="text1"/>
                <w:sz w:val="20"/>
                <w:szCs w:val="20"/>
              </w:rPr>
              <w:t>GB 23757-2009消防电子产品防护要求</w:t>
            </w:r>
            <w:r>
              <w:rPr>
                <w:rFonts w:hint="eastAsia"/>
                <w:b/>
                <w:sz w:val="20"/>
                <w:lang w:val="en-US" w:eastAsia="zh-CN"/>
              </w:rPr>
              <w:t>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cantSplit/>
          <w:trHeight w:val="200" w:hRule="atLeast"/>
          <w:jc w:val="center"/>
        </w:trPr>
        <w:tc>
          <w:tcPr>
            <w:tcW w:w="20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6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安装、</w:t>
            </w:r>
            <w:r>
              <w:rPr>
                <w:rFonts w:hint="eastAsia"/>
                <w:b/>
                <w:sz w:val="20"/>
                <w:szCs w:val="22"/>
              </w:rPr>
              <w:t>试验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过程中关键参数的检验。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cantSplit/>
          <w:trHeight w:val="610" w:hRule="atLeast"/>
          <w:jc w:val="center"/>
        </w:trPr>
        <w:tc>
          <w:tcPr>
            <w:tcW w:w="20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6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cantSplit/>
          <w:trHeight w:val="870" w:hRule="atLeast"/>
          <w:jc w:val="center"/>
        </w:trPr>
        <w:tc>
          <w:tcPr>
            <w:tcW w:w="20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7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20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4800" w:type="dxa"/>
            <w:gridSpan w:val="4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50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620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 xml:space="preserve">EMS 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1252"/>
        <w:gridCol w:w="1718"/>
        <w:gridCol w:w="815"/>
        <w:gridCol w:w="395"/>
        <w:gridCol w:w="1410"/>
        <w:gridCol w:w="1110"/>
        <w:gridCol w:w="69"/>
        <w:gridCol w:w="290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4338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西安硕隆电子工程技术有限公司</w:t>
            </w:r>
          </w:p>
        </w:tc>
        <w:tc>
          <w:tcPr>
            <w:tcW w:w="111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976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  <w:r>
              <w:rPr>
                <w:b/>
                <w:sz w:val="20"/>
              </w:rPr>
              <w:t>28.04.02;28.07.01;</w:t>
            </w:r>
          </w:p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28.07.03;29.12.00</w:t>
            </w:r>
          </w:p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  <w:r>
              <w:rPr>
                <w:b/>
                <w:sz w:val="20"/>
              </w:rPr>
              <w:t>28.04.02;28.07.01;</w:t>
            </w:r>
          </w:p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28.07.03;29.12.00</w:t>
            </w:r>
          </w:p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  <w:r>
              <w:rPr>
                <w:b/>
                <w:sz w:val="20"/>
              </w:rPr>
              <w:t>28.04.02;28.07.01;</w:t>
            </w:r>
          </w:p>
          <w:p>
            <w:pPr>
              <w:snapToGrid w:val="0"/>
              <w:spacing w:line="280" w:lineRule="exact"/>
              <w:ind w:left="52" w:leftChars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28.07.03;29.12.00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71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李利、陈飞燕</w:t>
            </w:r>
          </w:p>
        </w:tc>
        <w:tc>
          <w:tcPr>
            <w:tcW w:w="121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28.04.02;28.07.01;28.07.03;29.12.00</w:t>
            </w:r>
          </w:p>
        </w:tc>
        <w:tc>
          <w:tcPr>
            <w:tcW w:w="111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97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252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71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李利</w:t>
            </w:r>
          </w:p>
        </w:tc>
        <w:tc>
          <w:tcPr>
            <w:tcW w:w="121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1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976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施工流程：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</w:rPr>
              <w:t>开工报告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—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材料入场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—</w:t>
            </w:r>
            <w:r>
              <w:rPr>
                <w:rFonts w:hint="eastAsia"/>
                <w:b/>
                <w:sz w:val="20"/>
                <w:szCs w:val="22"/>
              </w:rPr>
              <w:t>敷缆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、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安装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—</w:t>
            </w:r>
            <w:r>
              <w:rPr>
                <w:rFonts w:hint="eastAsia"/>
                <w:b/>
                <w:sz w:val="20"/>
                <w:szCs w:val="22"/>
              </w:rPr>
              <w:t>试验、检验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—</w:t>
            </w:r>
            <w:r>
              <w:rPr>
                <w:rFonts w:hint="eastAsia"/>
                <w:b/>
                <w:sz w:val="20"/>
                <w:szCs w:val="22"/>
              </w:rPr>
              <w:t>交付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销售服务流程：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签订销售合同—实施采购—送货—检验—交付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360" w:lineRule="auto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固废排放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：</w:t>
            </w:r>
            <w:r>
              <w:rPr>
                <w:rFonts w:hint="eastAsia"/>
                <w:b/>
                <w:sz w:val="20"/>
                <w:szCs w:val="22"/>
              </w:rPr>
              <w:t>塑料边角料、网线头、材料包装物废弃、办公垃圾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，</w:t>
            </w:r>
            <w:r>
              <w:rPr>
                <w:rFonts w:hint="eastAsia"/>
                <w:b/>
                <w:sz w:val="20"/>
                <w:szCs w:val="22"/>
              </w:rPr>
              <w:t>实行垃圾分类处理，综合利用，对于边角料外售；办公固废由综合办公室统一收集，综合处理，办公废物供方回收。火灾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：</w:t>
            </w:r>
            <w:r>
              <w:rPr>
                <w:rFonts w:hint="eastAsia"/>
                <w:b/>
                <w:sz w:val="20"/>
                <w:szCs w:val="22"/>
              </w:rPr>
              <w:t>施工、办公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；</w:t>
            </w:r>
            <w:r>
              <w:rPr>
                <w:rFonts w:hint="eastAsia"/>
                <w:b/>
                <w:sz w:val="20"/>
                <w:szCs w:val="22"/>
              </w:rPr>
              <w:t>对重点部位按防火要求配备环保型灭火器材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；</w:t>
            </w:r>
            <w:r>
              <w:rPr>
                <w:rFonts w:hint="eastAsia"/>
                <w:b/>
                <w:sz w:val="20"/>
                <w:szCs w:val="22"/>
              </w:rPr>
              <w:t>严格落实各项消防规章及防火管理制度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环境保护法、消防法、固体废物防治法等。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4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1252"/>
        <w:gridCol w:w="1678"/>
        <w:gridCol w:w="855"/>
        <w:gridCol w:w="325"/>
        <w:gridCol w:w="1250"/>
        <w:gridCol w:w="1180"/>
        <w:gridCol w:w="229"/>
        <w:gridCol w:w="290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4108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西安硕隆电子工程技术有限公司</w:t>
            </w:r>
          </w:p>
        </w:tc>
        <w:tc>
          <w:tcPr>
            <w:tcW w:w="118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3136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  <w:r>
              <w:rPr>
                <w:b/>
                <w:sz w:val="20"/>
              </w:rPr>
              <w:t>28.04.02;28.07.01;</w:t>
            </w:r>
          </w:p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28.07.03;29.12.00</w:t>
            </w:r>
          </w:p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  <w:r>
              <w:rPr>
                <w:b/>
                <w:sz w:val="20"/>
              </w:rPr>
              <w:t>28.04.02;28.07.01;</w:t>
            </w:r>
          </w:p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28.07.03;29.12.00</w:t>
            </w:r>
          </w:p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  <w:r>
              <w:rPr>
                <w:b/>
                <w:sz w:val="20"/>
              </w:rPr>
              <w:t>28.04.02;28.07.01;</w:t>
            </w:r>
          </w:p>
          <w:p>
            <w:pPr>
              <w:snapToGrid w:val="0"/>
              <w:spacing w:line="280" w:lineRule="exact"/>
              <w:ind w:left="52" w:leftChars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28.07.03;29.12.00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6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李利、陈飞燕</w:t>
            </w:r>
          </w:p>
        </w:tc>
        <w:tc>
          <w:tcPr>
            <w:tcW w:w="118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25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28.04.02;28.07.01;28.07.03;29.12.00</w:t>
            </w:r>
          </w:p>
        </w:tc>
        <w:tc>
          <w:tcPr>
            <w:tcW w:w="118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3136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97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252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6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李利</w:t>
            </w:r>
          </w:p>
        </w:tc>
        <w:tc>
          <w:tcPr>
            <w:tcW w:w="118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  <w:tc>
          <w:tcPr>
            <w:tcW w:w="125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8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3136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施工流程：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</w:rPr>
              <w:t>开工报告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—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材料入场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—</w:t>
            </w:r>
            <w:r>
              <w:rPr>
                <w:rFonts w:hint="eastAsia"/>
                <w:b/>
                <w:sz w:val="20"/>
                <w:szCs w:val="22"/>
              </w:rPr>
              <w:t>敷缆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、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安装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—</w:t>
            </w:r>
            <w:r>
              <w:rPr>
                <w:rFonts w:hint="eastAsia"/>
                <w:b/>
                <w:sz w:val="20"/>
                <w:szCs w:val="22"/>
              </w:rPr>
              <w:t>试验、检验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—</w:t>
            </w:r>
            <w:r>
              <w:rPr>
                <w:rFonts w:hint="eastAsia"/>
                <w:b/>
                <w:sz w:val="20"/>
                <w:szCs w:val="22"/>
              </w:rPr>
              <w:t>交付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销售服务流程：</w:t>
            </w:r>
          </w:p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签订销售合同—实施采购—送货—检验—交付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hint="eastAsia"/>
                <w:b/>
                <w:sz w:val="20"/>
                <w:szCs w:val="22"/>
                <w:lang w:eastAsia="zh-CN"/>
              </w:rPr>
            </w:pPr>
            <w:r>
              <w:rPr>
                <w:rFonts w:hint="eastAsia"/>
                <w:b/>
                <w:sz w:val="20"/>
                <w:szCs w:val="22"/>
              </w:rPr>
              <w:t>触电事故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：</w:t>
            </w:r>
            <w:r>
              <w:rPr>
                <w:rFonts w:hint="eastAsia"/>
                <w:b/>
                <w:sz w:val="20"/>
                <w:szCs w:val="22"/>
              </w:rPr>
              <w:t>严格执行安全用电规范,用电人员必须佩戴劳保用品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；</w:t>
            </w:r>
            <w:r>
              <w:rPr>
                <w:rFonts w:hint="eastAsia"/>
                <w:b/>
                <w:sz w:val="20"/>
                <w:szCs w:val="22"/>
              </w:rPr>
              <w:t>组织相关岗位人员培训学习并认真贯彻实施上述规定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；</w:t>
            </w:r>
            <w:r>
              <w:rPr>
                <w:rFonts w:hint="eastAsia"/>
                <w:b/>
                <w:sz w:val="20"/>
                <w:szCs w:val="22"/>
              </w:rPr>
              <w:t>加强施工过程检查,及时纠正违章操作行为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；</w:t>
            </w:r>
          </w:p>
          <w:p>
            <w:pPr>
              <w:snapToGrid w:val="0"/>
              <w:spacing w:line="360" w:lineRule="auto"/>
              <w:jc w:val="left"/>
              <w:rPr>
                <w:rFonts w:hint="eastAsia"/>
                <w:b/>
                <w:sz w:val="20"/>
                <w:szCs w:val="22"/>
                <w:lang w:eastAsia="zh-CN"/>
              </w:rPr>
            </w:pPr>
            <w:r>
              <w:rPr>
                <w:rFonts w:hint="eastAsia"/>
                <w:b/>
                <w:sz w:val="20"/>
                <w:szCs w:val="22"/>
              </w:rPr>
              <w:t>机械伤害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：</w:t>
            </w:r>
            <w:r>
              <w:rPr>
                <w:rFonts w:hint="eastAsia"/>
                <w:b/>
                <w:sz w:val="20"/>
                <w:szCs w:val="22"/>
              </w:rPr>
              <w:t>作业人员必须佩戴劳保用品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；</w:t>
            </w:r>
            <w:r>
              <w:rPr>
                <w:rFonts w:hint="eastAsia"/>
                <w:b/>
                <w:sz w:val="20"/>
                <w:szCs w:val="22"/>
              </w:rPr>
              <w:t>组织相关岗位人员培训学习并认真贯彻实施上述规定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；</w:t>
            </w:r>
            <w:r>
              <w:rPr>
                <w:rFonts w:hint="eastAsia"/>
                <w:b/>
                <w:sz w:val="20"/>
                <w:szCs w:val="22"/>
              </w:rPr>
              <w:t>加强施工过程检查,及时纠正违章操作行为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；</w:t>
            </w:r>
          </w:p>
          <w:p>
            <w:pPr>
              <w:snapToGrid w:val="0"/>
              <w:spacing w:line="360" w:lineRule="auto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szCs w:val="22"/>
              </w:rPr>
              <w:t>火灾事故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：</w:t>
            </w:r>
            <w:r>
              <w:rPr>
                <w:rFonts w:hint="eastAsia"/>
                <w:b/>
                <w:sz w:val="20"/>
                <w:szCs w:val="22"/>
              </w:rPr>
              <w:t>对重点部位按防火要求配备环保型灭火器材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；</w:t>
            </w:r>
            <w:r>
              <w:rPr>
                <w:rFonts w:hint="eastAsia"/>
                <w:b/>
                <w:sz w:val="20"/>
                <w:szCs w:val="22"/>
              </w:rPr>
              <w:t>严格落实各项消防规章及防火管理制度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消防法、劳动法等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4108" w:type="dxa"/>
            <w:gridSpan w:val="4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180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3136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  <w:bookmarkStart w:id="2" w:name="_GoBack"/>
      <w:bookmarkEnd w:id="2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144512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1</TotalTime>
  <ScaleCrop>false</ScaleCrop>
  <LinksUpToDate>false</LinksUpToDate>
  <CharactersWithSpaces>322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郭力</cp:lastModifiedBy>
  <dcterms:modified xsi:type="dcterms:W3CDTF">2022-02-12T01:13:24Z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2052-11.1.0.11294</vt:lpwstr>
  </property>
</Properties>
</file>