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bCs/>
          <w:sz w:val="32"/>
          <w:szCs w:val="32"/>
          <w:u w:val="single"/>
          <w:lang w:val="en-US" w:eastAsia="zh-CN"/>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ascii="宋体" w:hAnsi="宋体"/>
          <w:b/>
          <w:bCs/>
          <w:sz w:val="32"/>
          <w:szCs w:val="32"/>
          <w:u w:val="single"/>
        </w:rPr>
        <w:t>赢胜节能集团有限公司</w:t>
      </w:r>
      <w:bookmarkEnd w:id="1"/>
      <w:r>
        <w:rPr>
          <w:rFonts w:hint="eastAsia" w:ascii="宋体" w:hAnsi="宋体"/>
          <w:b/>
          <w:bCs/>
          <w:sz w:val="32"/>
          <w:szCs w:val="32"/>
          <w:u w:val="single"/>
          <w:lang w:val="en-US" w:eastAsia="zh-CN"/>
        </w:rPr>
        <w:t xml:space="preserve"> </w:t>
      </w:r>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0124-2020-2021</w:t>
      </w:r>
      <w:bookmarkEnd w:id="2"/>
      <w:r>
        <w:rPr>
          <w:rFonts w:hint="eastAsia" w:ascii="宋体" w:hAnsi="宋体"/>
          <w:sz w:val="32"/>
          <w:u w:val="single"/>
          <w:lang w:val="en-US" w:eastAsia="zh-CN"/>
        </w:rPr>
        <w:t xml:space="preserve">       </w:t>
      </w:r>
    </w:p>
    <w:p>
      <w:pPr>
        <w:tabs>
          <w:tab w:val="center" w:pos="4153"/>
        </w:tabs>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r>
        <w:rPr>
          <w:rFonts w:hint="eastAsia" w:ascii="宋体" w:hAnsi="宋体"/>
          <w:sz w:val="32"/>
          <w:u w:val="single"/>
          <w:lang w:eastAsia="zh-CN"/>
        </w:rPr>
        <w:tab/>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0124-2020-2021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赢胜节能集团有限公司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戴瑞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ISC-2020-0758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2025-07-05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一</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2021年07月13日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cs="宋体" w:asciiTheme="minorEastAsia" w:hAnsiTheme="minorEastAsia"/>
                <w:kern w:val="0"/>
                <w:szCs w:val="21"/>
                <w:lang w:val="en-US" w:eastAsia="zh-CN"/>
              </w:rPr>
              <w:t>黄金荣，</w:t>
            </w:r>
            <w:r>
              <w:rPr>
                <w:rFonts w:ascii="宋体" w:hAnsi="宋体"/>
                <w:color w:val="000000"/>
                <w:szCs w:val="21"/>
                <w:shd w:val="clear" w:color="auto" w:fill="auto"/>
              </w:rPr>
              <w:t>2018-M1MMS-1227641</w:t>
            </w:r>
          </w:p>
          <w:p>
            <w:pPr>
              <w:tabs>
                <w:tab w:val="left" w:pos="880"/>
              </w:tabs>
              <w:autoSpaceDE w:val="0"/>
              <w:autoSpaceDN w:val="0"/>
              <w:adjustRightInd w:val="0"/>
              <w:spacing w:before="35" w:line="276" w:lineRule="auto"/>
              <w:ind w:right="161"/>
              <w:rPr>
                <w:rFonts w:hint="default" w:ascii="宋体" w:hAnsi="宋体"/>
                <w:color w:val="000000"/>
                <w:szCs w:val="21"/>
                <w:shd w:val="clear" w:color="auto" w:fill="auto"/>
                <w:lang w:val="en-US" w:eastAsia="zh-CN"/>
              </w:rPr>
            </w:pPr>
            <w:r>
              <w:rPr>
                <w:rFonts w:hint="eastAsia" w:ascii="宋体" w:hAnsi="宋体"/>
                <w:color w:val="000000"/>
                <w:szCs w:val="21"/>
                <w:shd w:val="clear" w:color="auto" w:fill="auto"/>
                <w:lang w:val="en-US" w:eastAsia="zh-CN"/>
              </w:rPr>
              <w:t xml:space="preserve">蔡萍，  </w:t>
            </w:r>
            <w:r>
              <w:rPr>
                <w:rFonts w:ascii="宋体" w:hAnsi="宋体"/>
                <w:color w:val="000000"/>
                <w:szCs w:val="21"/>
                <w:shd w:val="clear" w:color="auto" w:fill="auto"/>
              </w:rPr>
              <w:t>2018-M1MMS-1274225</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bCs/>
                <w:szCs w:val="21"/>
              </w:rPr>
            </w:pPr>
            <w:r>
              <w:rPr>
                <w:rFonts w:hint="eastAsia" w:ascii="宋体" w:hAnsi="宋体"/>
                <w:bCs/>
                <w:szCs w:val="21"/>
              </w:rPr>
              <w:t>管理</w:t>
            </w:r>
            <w:r>
              <w:rPr>
                <w:rFonts w:ascii="宋体" w:hAnsi="宋体"/>
                <w:bCs/>
                <w:szCs w:val="21"/>
              </w:rPr>
              <w:t>层</w:t>
            </w:r>
            <w:r>
              <w:rPr>
                <w:rFonts w:hint="eastAsia" w:ascii="宋体" w:hAnsi="宋体"/>
                <w:bCs/>
                <w:szCs w:val="21"/>
              </w:rPr>
              <w:t>/</w:t>
            </w:r>
            <w:r>
              <w:rPr>
                <w:rFonts w:ascii="宋体" w:hAnsi="宋体"/>
                <w:bCs/>
                <w:szCs w:val="21"/>
              </w:rPr>
              <w:t>管理者代表</w:t>
            </w:r>
          </w:p>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质管部、销售部、采购、制造部（生产车间）部、设备部</w:t>
            </w:r>
          </w:p>
        </w:tc>
      </w:tr>
    </w:tbl>
    <w:p>
      <w:pPr>
        <w:widowControl/>
        <w:numPr>
          <w:ilvl w:val="0"/>
          <w:numId w:val="1"/>
        </w:numPr>
        <w:spacing w:line="360" w:lineRule="auto"/>
        <w:rPr>
          <w:rFonts w:hint="eastAsia" w:cs="宋体" w:asciiTheme="minorEastAsia" w:hAnsiTheme="minorEastAsia"/>
          <w:bCs/>
          <w:kern w:val="0"/>
          <w:szCs w:val="21"/>
        </w:rPr>
      </w:pP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w:t>
      </w:r>
      <w:r>
        <w:rPr>
          <w:rFonts w:hint="eastAsia" w:ascii="宋体" w:hAnsi="宋体" w:eastAsia="宋体" w:cs="宋体"/>
          <w:bCs/>
          <w:color w:val="auto"/>
          <w:kern w:val="0"/>
          <w:sz w:val="24"/>
          <w:szCs w:val="24"/>
        </w:rPr>
        <w:t>在</w:t>
      </w:r>
      <w:r>
        <w:rPr>
          <w:rFonts w:hint="eastAsia" w:ascii="宋体" w:hAnsi="宋体" w:eastAsia="宋体" w:cs="宋体"/>
          <w:bCs/>
          <w:color w:val="auto"/>
          <w:kern w:val="0"/>
          <w:sz w:val="24"/>
          <w:szCs w:val="24"/>
          <w:lang w:eastAsia="zh-CN"/>
        </w:rPr>
        <w:t>赢胜节能集团有限公司</w:t>
      </w:r>
      <w:r>
        <w:rPr>
          <w:rFonts w:hint="eastAsia" w:ascii="宋体" w:hAnsi="宋体" w:eastAsia="宋体" w:cs="宋体"/>
          <w:bCs/>
          <w:color w:val="auto"/>
          <w:kern w:val="0"/>
          <w:sz w:val="24"/>
          <w:szCs w:val="24"/>
        </w:rPr>
        <w:t>现场审核中，审核组分</w:t>
      </w:r>
      <w:r>
        <w:rPr>
          <w:rFonts w:hint="eastAsia" w:ascii="宋体" w:hAnsi="宋体" w:eastAsia="宋体" w:cs="宋体"/>
          <w:bCs/>
          <w:color w:val="auto"/>
          <w:kern w:val="0"/>
          <w:sz w:val="24"/>
          <w:szCs w:val="24"/>
          <w:lang w:val="en-US" w:eastAsia="zh-CN"/>
        </w:rPr>
        <w:t>一</w:t>
      </w:r>
      <w:r>
        <w:rPr>
          <w:rFonts w:hint="eastAsia" w:ascii="宋体" w:hAnsi="宋体" w:eastAsia="宋体" w:cs="宋体"/>
          <w:bCs/>
          <w:color w:val="auto"/>
          <w:kern w:val="0"/>
          <w:sz w:val="24"/>
          <w:szCs w:val="24"/>
        </w:rPr>
        <w:t>个组先、后抽样检查了涉及公司测量体系内的管理、生产、质量和环境等方面的</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个职能部门和</w:t>
      </w:r>
      <w:r>
        <w:rPr>
          <w:rFonts w:hint="eastAsia" w:ascii="宋体" w:hAnsi="宋体" w:eastAsia="宋体" w:cs="宋体"/>
          <w:bCs/>
          <w:color w:val="auto"/>
          <w:kern w:val="0"/>
          <w:sz w:val="24"/>
          <w:szCs w:val="24"/>
          <w:lang w:val="en-US" w:eastAsia="zh-CN"/>
        </w:rPr>
        <w:t>生产部门</w:t>
      </w:r>
      <w:r>
        <w:rPr>
          <w:rFonts w:hint="eastAsia" w:ascii="宋体" w:hAnsi="宋体" w:eastAsia="宋体" w:cs="宋体"/>
          <w:bCs/>
          <w:color w:val="auto"/>
          <w:kern w:val="0"/>
          <w:sz w:val="24"/>
          <w:szCs w:val="24"/>
        </w:rPr>
        <w:t xml:space="preserve"> 。覆盖了GB/T 19022-2003标准相关要素和体系涉及的主要范围。</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公司领导层重视测量管理体系各项工作，配备完善了相关资源和设备</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企业根据测量体系质量方针，</w:t>
      </w:r>
      <w:r>
        <w:rPr>
          <w:rFonts w:hint="eastAsia" w:ascii="宋体" w:hAnsi="宋体" w:eastAsia="宋体" w:cs="宋体"/>
          <w:bCs/>
          <w:color w:val="auto"/>
          <w:kern w:val="0"/>
          <w:sz w:val="24"/>
          <w:szCs w:val="24"/>
        </w:rPr>
        <w:t>制定了</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项质量目标，质量目标有具体考核指标可测量，</w:t>
      </w:r>
      <w:r>
        <w:rPr>
          <w:rFonts w:hint="eastAsia" w:ascii="宋体" w:hAnsi="宋体" w:eastAsia="宋体" w:cs="宋体"/>
          <w:bCs/>
          <w:color w:val="auto"/>
          <w:kern w:val="0"/>
          <w:sz w:val="24"/>
          <w:szCs w:val="24"/>
          <w:lang w:val="en-US" w:eastAsia="zh-CN"/>
        </w:rPr>
        <w:t>经统计2021年1月至6月份</w:t>
      </w:r>
      <w:r>
        <w:rPr>
          <w:rFonts w:hint="eastAsia" w:ascii="宋体" w:hAnsi="宋体" w:eastAsia="宋体" w:cs="宋体"/>
          <w:bCs/>
          <w:color w:val="auto"/>
          <w:kern w:val="0"/>
          <w:sz w:val="24"/>
          <w:szCs w:val="24"/>
        </w:rPr>
        <w:t>质量目标</w:t>
      </w:r>
      <w:r>
        <w:rPr>
          <w:rFonts w:hint="eastAsia" w:ascii="宋体" w:hAnsi="宋体" w:eastAsia="宋体" w:cs="宋体"/>
          <w:bCs/>
          <w:color w:val="auto"/>
          <w:kern w:val="0"/>
          <w:sz w:val="24"/>
          <w:szCs w:val="24"/>
          <w:lang w:val="en-US" w:eastAsia="zh-CN"/>
        </w:rPr>
        <w:t>全部</w:t>
      </w:r>
      <w:r>
        <w:rPr>
          <w:rFonts w:hint="eastAsia" w:ascii="宋体" w:hAnsi="宋体" w:eastAsia="宋体" w:cs="宋体"/>
          <w:bCs/>
          <w:color w:val="auto"/>
          <w:kern w:val="0"/>
          <w:sz w:val="24"/>
          <w:szCs w:val="24"/>
        </w:rPr>
        <w:t>完成。</w:t>
      </w:r>
      <w:r>
        <w:rPr>
          <w:rFonts w:hint="eastAsia" w:ascii="宋体" w:hAnsi="宋体" w:eastAsia="宋体" w:cs="宋体"/>
          <w:bCs/>
          <w:color w:val="auto"/>
          <w:kern w:val="0"/>
          <w:sz w:val="24"/>
          <w:szCs w:val="24"/>
          <w:lang w:eastAsia="zh-CN"/>
        </w:rPr>
        <w:t>赢胜节能集团有限公司</w:t>
      </w:r>
      <w:r>
        <w:rPr>
          <w:rFonts w:hint="eastAsia" w:ascii="宋体" w:hAnsi="宋体" w:eastAsia="宋体" w:cs="宋体"/>
          <w:bCs/>
          <w:color w:val="auto"/>
          <w:kern w:val="0"/>
          <w:sz w:val="24"/>
          <w:szCs w:val="24"/>
        </w:rPr>
        <w:t>测量管理体系的符合性、有效性及持续改进，符合GB/T 19022-2003标准要求，</w:t>
      </w:r>
      <w:r>
        <w:rPr>
          <w:rFonts w:hint="eastAsia" w:asciiTheme="majorEastAsia" w:hAnsiTheme="majorEastAsia" w:eastAsiaTheme="majorEastAsia" w:cstheme="majorEastAsia"/>
          <w:color w:val="auto"/>
          <w:sz w:val="24"/>
          <w:szCs w:val="24"/>
        </w:rPr>
        <w:t>公司测量管理体系正常有序运行，较好地满足了公司可持续发展的需要。企业效益逐年提高。</w:t>
      </w:r>
      <w:r>
        <w:rPr>
          <w:rFonts w:hint="eastAsia" w:asciiTheme="majorEastAsia" w:hAnsiTheme="majorEastAsia" w:eastAsiaTheme="majorEastAsia" w:cstheme="majorEastAsia"/>
          <w:color w:val="auto"/>
          <w:sz w:val="24"/>
          <w:szCs w:val="24"/>
          <w:lang w:val="en-US" w:eastAsia="zh-CN"/>
        </w:rPr>
        <w:t>公司新增了认证项目2项：1、</w:t>
      </w:r>
      <w:r>
        <w:rPr>
          <w:rFonts w:hint="eastAsia" w:ascii="宋体" w:hAnsi="宋体" w:eastAsia="宋体" w:cs="宋体"/>
          <w:bCs/>
          <w:color w:val="auto"/>
          <w:kern w:val="0"/>
          <w:sz w:val="24"/>
          <w:szCs w:val="24"/>
          <w:lang w:val="en-US" w:eastAsia="zh-CN"/>
        </w:rPr>
        <w:t>企业于2020.12.1通过了中国合格评定国家认可委员会实验室认可。注册号：CNAS L13951。有效期至2026.11.30。2、企业于2021.4.25。通过了北京联合智业认证有限公司能源管理体系认证。有效期至2024.4.24。</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2.内部审核和管理评审的情况：</w:t>
      </w:r>
    </w:p>
    <w:p>
      <w:pPr>
        <w:spacing w:line="360" w:lineRule="auto"/>
        <w:rPr>
          <w:rFonts w:hint="eastAsia" w:ascii="宋体" w:hAnsi="宋体" w:eastAsia="宋体" w:cs="宋体"/>
          <w:bCs/>
          <w:color w:val="auto"/>
          <w:kern w:val="0"/>
          <w:sz w:val="24"/>
          <w:szCs w:val="24"/>
          <w:lang w:val="en-US" w:eastAsia="zh-CN"/>
        </w:rPr>
      </w:pPr>
      <w:r>
        <w:rPr>
          <w:rFonts w:hint="eastAsia" w:asciiTheme="majorEastAsia" w:hAnsiTheme="majorEastAsia" w:eastAsiaTheme="majorEastAsia" w:cstheme="majorEastAsia"/>
          <w:color w:val="auto"/>
          <w:sz w:val="24"/>
          <w:szCs w:val="24"/>
        </w:rPr>
        <w:t>2.</w:t>
      </w:r>
      <w:r>
        <w:rPr>
          <w:rFonts w:hint="eastAsia" w:ascii="宋体" w:hAnsi="宋体" w:eastAsia="宋体" w:cs="宋体"/>
          <w:bCs/>
          <w:color w:val="auto"/>
          <w:kern w:val="0"/>
          <w:sz w:val="24"/>
          <w:szCs w:val="24"/>
          <w:lang w:val="en-US" w:eastAsia="zh-CN"/>
        </w:rPr>
        <w:t>1公司于2021年5月6月至5月7日组织了公司测量管理体系，内审分1个组，对公司5个部门和车间进行了审核，共开出了1个不符合项，到目前为止不符合项已全部完成整改。</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2.2企业于2021年6月1日开展了单体系管理评审，会议由公司总经理张君主持，由质管部汇报了体系运行情况。会议肯定了公司测量管理体系的充分性、有效性和适宜性。形成了管理评审报告。</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3.为持续改进而策划的活动的进展企业对识别的关键测量过程进行了持续的控制，企业</w:t>
      </w:r>
      <w:r>
        <w:rPr>
          <w:rFonts w:hint="eastAsia" w:asciiTheme="majorEastAsia" w:hAnsiTheme="majorEastAsia" w:eastAsiaTheme="majorEastAsia" w:cstheme="majorEastAsia"/>
          <w:color w:val="auto"/>
          <w:sz w:val="24"/>
          <w:szCs w:val="24"/>
          <w:lang w:val="en-US" w:eastAsia="zh-CN"/>
        </w:rPr>
        <w:t>表观密度称重</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为关键测量过程，测量过程识别、测量设备配备、检定</w:t>
      </w:r>
      <w:r>
        <w:rPr>
          <w:rFonts w:hint="eastAsia" w:asciiTheme="majorEastAsia" w:hAnsiTheme="majorEastAsia" w:eastAsiaTheme="majorEastAsia" w:cstheme="majorEastAsia"/>
          <w:color w:val="auto"/>
          <w:sz w:val="24"/>
          <w:szCs w:val="24"/>
          <w:lang w:val="en-US" w:eastAsia="zh-CN"/>
        </w:rPr>
        <w:t>/校准</w:t>
      </w:r>
      <w:r>
        <w:rPr>
          <w:rFonts w:hint="eastAsia" w:asciiTheme="majorEastAsia" w:hAnsiTheme="majorEastAsia" w:eastAsiaTheme="majorEastAsia" w:cstheme="majorEastAsia"/>
          <w:color w:val="auto"/>
          <w:sz w:val="24"/>
          <w:szCs w:val="24"/>
        </w:rPr>
        <w:t>、验证，测量过程有效性确认，测量不确定度评定、测量过程控制和监视满足要求。。</w:t>
      </w:r>
      <w:r>
        <w:rPr>
          <w:rFonts w:hint="eastAsia" w:asciiTheme="majorEastAsia" w:hAnsiTheme="majorEastAsia" w:eastAsiaTheme="majorEastAsia" w:cstheme="majorEastAsia"/>
          <w:color w:val="auto"/>
          <w:sz w:val="24"/>
          <w:szCs w:val="24"/>
          <w:lang w:val="en-US" w:eastAsia="zh-CN"/>
        </w:rPr>
        <w:t>企业没有新增关键测量过程。</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a)计量要求的导出和验证：查</w:t>
      </w:r>
      <w:r>
        <w:rPr>
          <w:rFonts w:hint="eastAsia" w:asciiTheme="majorEastAsia" w:hAnsiTheme="majorEastAsia" w:eastAsiaTheme="majorEastAsia" w:cstheme="majorEastAsia"/>
          <w:color w:val="auto"/>
          <w:sz w:val="24"/>
          <w:szCs w:val="24"/>
          <w:lang w:val="en-US" w:eastAsia="zh-CN"/>
        </w:rPr>
        <w:t>表观密度称重</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，计量要求导出方法正确，验证满足测量过程要求。祥见附件《计量要求导出及验证记录表》</w:t>
      </w:r>
    </w:p>
    <w:p>
      <w:pPr>
        <w:spacing w:line="360" w:lineRule="auto"/>
        <w:rPr>
          <w:rFonts w:hint="eastAsia" w:ascii="宋体" w:hAnsi="宋体" w:eastAsia="宋体" w:cs="宋体"/>
          <w:bCs/>
          <w:color w:val="auto"/>
          <w:kern w:val="0"/>
          <w:sz w:val="24"/>
          <w:szCs w:val="24"/>
        </w:rPr>
      </w:pPr>
      <w:r>
        <w:rPr>
          <w:rFonts w:hint="eastAsia" w:asciiTheme="majorEastAsia" w:hAnsiTheme="majorEastAsia" w:eastAsiaTheme="majorEastAsia" w:cstheme="majorEastAsia"/>
          <w:color w:val="auto"/>
          <w:sz w:val="24"/>
          <w:szCs w:val="24"/>
        </w:rPr>
        <w:t>b)测量不确定评定：查</w:t>
      </w:r>
      <w:r>
        <w:rPr>
          <w:rFonts w:hint="eastAsia" w:asciiTheme="majorEastAsia" w:hAnsiTheme="majorEastAsia" w:eastAsiaTheme="majorEastAsia" w:cstheme="majorEastAsia"/>
          <w:color w:val="auto"/>
          <w:sz w:val="24"/>
          <w:szCs w:val="24"/>
          <w:lang w:val="en-US" w:eastAsia="zh-CN"/>
        </w:rPr>
        <w:t>表观密度称重</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，测量不确定度评定</w:t>
      </w:r>
      <w:r>
        <w:rPr>
          <w:rFonts w:hint="eastAsia" w:asciiTheme="majorEastAsia" w:hAnsiTheme="majorEastAsia" w:eastAsiaTheme="majorEastAsia" w:cstheme="majorEastAsia"/>
          <w:color w:val="auto"/>
          <w:sz w:val="24"/>
          <w:szCs w:val="24"/>
          <w:lang w:val="en-US" w:eastAsia="zh-CN"/>
        </w:rPr>
        <w:t>方法</w:t>
      </w:r>
      <w:r>
        <w:rPr>
          <w:rFonts w:hint="eastAsia" w:asciiTheme="majorEastAsia" w:hAnsiTheme="majorEastAsia" w:eastAsiaTheme="majorEastAsia" w:cstheme="majorEastAsia"/>
          <w:color w:val="auto"/>
          <w:sz w:val="24"/>
          <w:szCs w:val="24"/>
        </w:rPr>
        <w:t>正确。</w:t>
      </w:r>
      <w:r>
        <w:rPr>
          <w:rFonts w:hint="eastAsia" w:ascii="宋体" w:hAnsi="宋体" w:eastAsia="宋体" w:cs="宋体"/>
          <w:bCs/>
          <w:color w:val="auto"/>
          <w:kern w:val="0"/>
          <w:sz w:val="24"/>
          <w:szCs w:val="24"/>
        </w:rPr>
        <w:t>祥见附件《测量不确定度评定》</w:t>
      </w:r>
    </w:p>
    <w:p>
      <w:pPr>
        <w:spacing w:line="360" w:lineRule="auto"/>
        <w:rPr>
          <w:rFonts w:hint="eastAsia"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rPr>
        <w:t>c</w:t>
      </w:r>
      <w:r>
        <w:rPr>
          <w:rFonts w:hint="eastAsia" w:asciiTheme="majorEastAsia" w:hAnsiTheme="majorEastAsia" w:eastAsiaTheme="majorEastAsia" w:cstheme="majorEastAsia"/>
          <w:color w:val="auto"/>
          <w:sz w:val="24"/>
          <w:szCs w:val="24"/>
        </w:rPr>
        <w:t>)有效性确认：查</w:t>
      </w:r>
      <w:r>
        <w:rPr>
          <w:rFonts w:hint="eastAsia" w:asciiTheme="majorEastAsia" w:hAnsiTheme="majorEastAsia" w:eastAsiaTheme="majorEastAsia" w:cstheme="majorEastAsia"/>
          <w:color w:val="auto"/>
          <w:sz w:val="24"/>
          <w:szCs w:val="24"/>
          <w:lang w:val="en-US" w:eastAsia="zh-CN"/>
        </w:rPr>
        <w:t>表观密度称重</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有效性确认，满足要求。祥见附件《测量过程有效性确认》</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d)测量过程的控制：查</w:t>
      </w:r>
      <w:r>
        <w:rPr>
          <w:rFonts w:hint="eastAsia" w:asciiTheme="majorEastAsia" w:hAnsiTheme="majorEastAsia" w:eastAsiaTheme="majorEastAsia" w:cstheme="majorEastAsia"/>
          <w:color w:val="auto"/>
          <w:sz w:val="24"/>
          <w:szCs w:val="24"/>
          <w:lang w:val="en-US" w:eastAsia="zh-CN"/>
        </w:rPr>
        <w:t>表观密度称重</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，编制了控制规范，对测量人员、测量设备、测量环境进行控制，满足要求。</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e)测量过程的监视：查表观密度称重</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过程，采用统计技术进行控制和监视测量过程。</w:t>
      </w:r>
      <w:r>
        <w:rPr>
          <w:rFonts w:hint="eastAsia" w:asciiTheme="majorEastAsia" w:hAnsiTheme="majorEastAsia" w:eastAsiaTheme="majorEastAsia" w:cstheme="majorEastAsia"/>
          <w:color w:val="auto"/>
          <w:sz w:val="24"/>
          <w:szCs w:val="24"/>
        </w:rPr>
        <w:t>祥见《测量过程监视记录》</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bCs/>
          <w:color w:val="auto"/>
          <w:kern w:val="0"/>
          <w:sz w:val="24"/>
          <w:szCs w:val="24"/>
        </w:rPr>
        <w:t>f)测量设备的溯源：公司</w:t>
      </w:r>
      <w:r>
        <w:rPr>
          <w:rFonts w:hint="eastAsia" w:ascii="宋体" w:hAnsi="宋体" w:eastAsia="宋体" w:cs="宋体"/>
          <w:bCs/>
          <w:color w:val="auto"/>
          <w:kern w:val="0"/>
          <w:sz w:val="24"/>
          <w:szCs w:val="24"/>
          <w:lang w:val="en-US" w:eastAsia="zh-CN"/>
        </w:rPr>
        <w:t>未建</w:t>
      </w:r>
      <w:r>
        <w:rPr>
          <w:rFonts w:hint="eastAsia" w:ascii="宋体" w:hAnsi="宋体" w:eastAsia="宋体" w:cs="宋体"/>
          <w:bCs/>
          <w:color w:val="auto"/>
          <w:kern w:val="0"/>
          <w:sz w:val="24"/>
          <w:szCs w:val="24"/>
        </w:rPr>
        <w:t>最高</w:t>
      </w:r>
      <w:r>
        <w:rPr>
          <w:rFonts w:hint="eastAsia" w:ascii="宋体" w:hAnsi="宋体" w:eastAsia="宋体" w:cs="宋体"/>
          <w:bCs/>
          <w:color w:val="auto"/>
          <w:kern w:val="0"/>
          <w:sz w:val="24"/>
          <w:szCs w:val="24"/>
          <w:lang w:val="en-US" w:eastAsia="zh-CN"/>
        </w:rPr>
        <w:t>计量</w:t>
      </w:r>
      <w:r>
        <w:rPr>
          <w:rFonts w:hint="eastAsia" w:ascii="宋体" w:hAnsi="宋体" w:eastAsia="宋体" w:cs="宋体"/>
          <w:bCs/>
          <w:color w:val="auto"/>
          <w:kern w:val="0"/>
          <w:sz w:val="24"/>
          <w:szCs w:val="24"/>
        </w:rPr>
        <w:t>标准，</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w:t>
      </w:r>
      <w:r>
        <w:rPr>
          <w:rFonts w:hint="eastAsia" w:ascii="宋体" w:hAnsi="宋体" w:eastAsia="宋体" w:cs="宋体"/>
          <w:bCs/>
          <w:color w:val="auto"/>
          <w:kern w:val="0"/>
          <w:sz w:val="24"/>
          <w:szCs w:val="24"/>
          <w:lang w:val="en-US" w:eastAsia="zh-CN"/>
        </w:rPr>
        <w:t>设备由质管部</w:t>
      </w:r>
      <w:r>
        <w:rPr>
          <w:rFonts w:hint="eastAsia" w:ascii="宋体" w:hAnsi="宋体" w:eastAsia="宋体" w:cs="宋体"/>
          <w:bCs/>
          <w:color w:val="auto"/>
          <w:kern w:val="0"/>
          <w:sz w:val="24"/>
          <w:szCs w:val="24"/>
        </w:rPr>
        <w:t>负责组织委外检定/校准</w:t>
      </w:r>
      <w:r>
        <w:rPr>
          <w:rFonts w:hint="eastAsia" w:asciiTheme="majorEastAsia" w:hAnsiTheme="majorEastAsia" w:eastAsiaTheme="majorEastAsia" w:cstheme="majorEastAsia"/>
          <w:color w:val="auto"/>
          <w:sz w:val="24"/>
          <w:szCs w:val="24"/>
          <w:lang w:val="en-US" w:eastAsia="zh-CN"/>
        </w:rPr>
        <w:t>。公司测量设备委托泰兴市产品质量综合检验检测中心、中国赛宝实验室计量检测</w:t>
      </w:r>
      <w:r>
        <w:rPr>
          <w:rFonts w:hint="eastAsia" w:ascii="宋体" w:hAnsi="宋体" w:eastAsia="宋体" w:cs="宋体"/>
          <w:bCs/>
          <w:color w:val="auto"/>
          <w:kern w:val="0"/>
          <w:sz w:val="24"/>
          <w:szCs w:val="24"/>
          <w:lang w:val="en-US" w:eastAsia="zh-CN"/>
        </w:rPr>
        <w:t>中心、</w:t>
      </w:r>
      <w:bookmarkStart w:id="10" w:name="_GoBack"/>
      <w:bookmarkEnd w:id="10"/>
      <w:r>
        <w:rPr>
          <w:rFonts w:hint="eastAsia" w:ascii="宋体" w:hAnsi="宋体" w:eastAsia="宋体" w:cs="宋体"/>
          <w:bCs/>
          <w:color w:val="auto"/>
          <w:kern w:val="0"/>
          <w:sz w:val="24"/>
          <w:szCs w:val="24"/>
          <w:lang w:val="en-US" w:eastAsia="zh-CN"/>
        </w:rPr>
        <w:t>扬州天域计量测试有限公司等</w:t>
      </w:r>
      <w:r>
        <w:rPr>
          <w:rFonts w:hint="eastAsia" w:asciiTheme="majorEastAsia" w:hAnsiTheme="majorEastAsia" w:eastAsiaTheme="majorEastAsia" w:cstheme="majorEastAsia"/>
          <w:color w:val="auto"/>
          <w:sz w:val="24"/>
          <w:szCs w:val="24"/>
          <w:lang w:val="en-US" w:eastAsia="zh-CN"/>
        </w:rPr>
        <w:t>检定/校准，抽查8台测量设备检定/校准证书，溯源满足要求。祥见《测量设备溯源检查表》</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4.能源管理情况：企业消耗能源主要有：水、电力 ，2021年1-5月所用水、电约合0.024万吨标准煤。不是重点耗能企业。</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widowControl/>
        <w:spacing w:line="360" w:lineRule="auto"/>
        <w:rPr>
          <w:rFonts w:hint="eastAsia" w:ascii="宋体" w:hAnsi="宋体" w:eastAsia="宋体" w:cs="宋体"/>
          <w:bCs/>
          <w:color w:val="0000FF"/>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初审开具一项</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rPr>
          <w:rFonts w:hint="eastAsia" w:ascii="宋体" w:hAnsi="宋体" w:eastAsia="宋体" w:cs="宋体"/>
          <w:bCs/>
          <w:color w:val="auto"/>
          <w:kern w:val="0"/>
          <w:sz w:val="24"/>
          <w:szCs w:val="24"/>
          <w:lang w:val="en-US" w:eastAsia="zh-CN"/>
        </w:rPr>
      </w:pPr>
      <w:r>
        <w:rPr>
          <w:rFonts w:hint="eastAsia" w:asciiTheme="majorEastAsia" w:hAnsiTheme="majorEastAsia" w:eastAsiaTheme="majorEastAsia" w:cstheme="majorEastAsia"/>
          <w:color w:val="auto"/>
          <w:sz w:val="24"/>
          <w:szCs w:val="24"/>
          <w:lang w:val="en-US" w:eastAsia="zh-CN"/>
        </w:rPr>
        <w:t>5.1检查现场检测区对表观密度进行检测，标准要求检测环境温度为（23±3）℃，</w:t>
      </w:r>
      <w:r>
        <w:rPr>
          <w:rFonts w:hint="eastAsia" w:ascii="宋体" w:hAnsi="宋体" w:eastAsia="宋体" w:cs="宋体"/>
          <w:bCs/>
          <w:color w:val="auto"/>
          <w:kern w:val="0"/>
          <w:sz w:val="24"/>
          <w:szCs w:val="24"/>
          <w:lang w:val="en-US" w:eastAsia="zh-CN"/>
        </w:rPr>
        <w:t>已配置了空调,但现场未配备温度计。</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不符合认证</w:t>
      </w:r>
      <w:r>
        <w:rPr>
          <w:rFonts w:hint="eastAsia" w:ascii="宋体" w:hAnsi="宋体" w:eastAsia="宋体" w:cs="宋体"/>
          <w:bCs/>
          <w:color w:val="auto"/>
          <w:kern w:val="0"/>
          <w:sz w:val="24"/>
          <w:szCs w:val="24"/>
          <w:lang w:val="zh-CN" w:eastAsia="zh-CN"/>
        </w:rPr>
        <w:t>审核准则</w:t>
      </w:r>
      <w:r>
        <w:rPr>
          <w:rFonts w:hint="eastAsia" w:ascii="宋体" w:hAnsi="宋体" w:eastAsia="宋体" w:cs="宋体"/>
          <w:bCs/>
          <w:color w:val="auto"/>
          <w:kern w:val="0"/>
          <w:sz w:val="24"/>
          <w:szCs w:val="24"/>
          <w:lang w:val="en-US" w:eastAsia="zh-CN"/>
        </w:rPr>
        <w:t>条款号：GB/T19022-2003标准6.3.2条款。</w:t>
      </w:r>
    </w:p>
    <w:p>
      <w:pPr>
        <w:widowControl/>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企业已制定了纠正措施，经现场查验已配备了温湿度计，并已校准。同意关闭该不符合项。</w:t>
      </w:r>
    </w:p>
    <w:p>
      <w:pPr>
        <w:widowControl/>
        <w:spacing w:line="360" w:lineRule="auto"/>
        <w:rPr>
          <w:rFonts w:hint="default"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测量管理体系在实现获证客户目标方面的有效性及持续的运作控制情况：</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公司制定了5项质量目标，质量目标有具体考核指标可测量，经统计2021年1月至6月质量目标全部完成。企业测量体系进一步满足顾客、质量、服务等方面的要求，符合GB/T 19022</w:t>
      </w:r>
      <w:r>
        <w:rPr>
          <w:rFonts w:hint="eastAsia" w:ascii="宋体" w:hAnsi="宋体"/>
          <w:color w:val="auto"/>
          <w:sz w:val="24"/>
          <w:szCs w:val="24"/>
        </w:rPr>
        <w:t>-2003标准要求。使其更具有动态性和适</w:t>
      </w:r>
      <w:r>
        <w:rPr>
          <w:rFonts w:hint="eastAsia" w:ascii="宋体" w:hAnsi="宋体"/>
          <w:color w:val="auto"/>
          <w:sz w:val="24"/>
          <w:szCs w:val="24"/>
          <w:lang w:val="en-US" w:eastAsia="zh-CN"/>
        </w:rPr>
        <w:t>宜</w:t>
      </w:r>
      <w:r>
        <w:rPr>
          <w:rFonts w:hint="eastAsia" w:ascii="宋体" w:hAnsi="宋体"/>
          <w:color w:val="auto"/>
          <w:sz w:val="24"/>
          <w:szCs w:val="24"/>
        </w:rPr>
        <w:t>性、</w:t>
      </w:r>
      <w:r>
        <w:rPr>
          <w:rFonts w:hint="eastAsia" w:ascii="宋体" w:hAnsi="宋体" w:eastAsia="宋体" w:cs="宋体"/>
          <w:bCs/>
          <w:color w:val="auto"/>
          <w:kern w:val="0"/>
          <w:sz w:val="24"/>
          <w:szCs w:val="24"/>
        </w:rPr>
        <w:t>有效性及对持续运作的控制。</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企业营业执照未发生变化。</w:t>
      </w:r>
      <w:r>
        <w:rPr>
          <w:rFonts w:hint="eastAsia" w:ascii="宋体" w:hAnsi="宋体" w:eastAsia="宋体" w:cs="宋体"/>
          <w:bCs/>
          <w:color w:val="auto"/>
          <w:kern w:val="0"/>
          <w:sz w:val="24"/>
          <w:szCs w:val="24"/>
          <w:lang w:val="en-US" w:eastAsia="zh-CN"/>
        </w:rPr>
        <w:t>企业组织机构没有变更。</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rPr>
          <w:rFonts w:hint="eastAsia" w:ascii="宋体" w:hAnsi="宋体"/>
          <w:color w:val="auto"/>
          <w:sz w:val="24"/>
          <w:szCs w:val="24"/>
        </w:rPr>
      </w:pPr>
      <w:r>
        <w:rPr>
          <w:rFonts w:hint="eastAsia" w:cs="宋体" w:asciiTheme="minorEastAsia" w:hAnsiTheme="minorEastAsia"/>
          <w:bCs/>
          <w:color w:val="auto"/>
          <w:kern w:val="0"/>
          <w:sz w:val="24"/>
          <w:szCs w:val="24"/>
          <w:lang w:val="en-US" w:eastAsia="zh-CN"/>
        </w:rPr>
        <w:t>9.</w:t>
      </w: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发现一般不符合项 ，未发现严重或系统性的不符合情况</w:t>
      </w:r>
      <w:r>
        <w:rPr>
          <w:rFonts w:hint="eastAsia" w:ascii="宋体" w:hAnsi="宋体"/>
          <w:color w:val="auto"/>
          <w:sz w:val="24"/>
          <w:szCs w:val="24"/>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13</w:t>
      </w:r>
      <w:r>
        <w:rPr>
          <w:rFonts w:hint="eastAsia" w:ascii="宋体" w:hAnsi="宋体" w:eastAsia="宋体" w:cs="宋体"/>
          <w:bCs/>
          <w:color w:val="auto"/>
          <w:kern w:val="0"/>
          <w:sz w:val="24"/>
          <w:szCs w:val="24"/>
        </w:rPr>
        <w:t>日，</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赢胜节能集团有限公司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赢胜节能集团有限公司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60288" behindDoc="0" locked="0" layoutInCell="1" allowOverlap="1">
            <wp:simplePos x="0" y="0"/>
            <wp:positionH relativeFrom="column">
              <wp:posOffset>1645920</wp:posOffset>
            </wp:positionH>
            <wp:positionV relativeFrom="paragraph">
              <wp:posOffset>264795</wp:posOffset>
            </wp:positionV>
            <wp:extent cx="614680" cy="385445"/>
            <wp:effectExtent l="0" t="0" r="0" b="5080"/>
            <wp:wrapNone/>
            <wp:docPr id="1"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2021.7.13</w:t>
      </w:r>
    </w:p>
    <w:p>
      <w:pPr>
        <w:widowControl/>
        <w:spacing w:line="360" w:lineRule="auto"/>
        <w:jc w:val="left"/>
        <w:rPr>
          <w:rFonts w:ascii="宋体" w:hAnsi="宋体" w:eastAsia="宋体" w:cs="宋体"/>
          <w:kern w:val="0"/>
          <w:szCs w:val="21"/>
        </w:rPr>
      </w:pPr>
      <w:r>
        <w:rPr>
          <w:rFonts w:ascii="宋体" w:hAnsi="宋体" w:eastAsia="宋体" w:cs="宋体"/>
          <w:sz w:val="24"/>
          <w:szCs w:val="24"/>
        </w:rPr>
        <w:drawing>
          <wp:anchor distT="0" distB="0" distL="114300" distR="114300" simplePos="0" relativeHeight="251668480" behindDoc="0" locked="0" layoutInCell="1" allowOverlap="1">
            <wp:simplePos x="0" y="0"/>
            <wp:positionH relativeFrom="column">
              <wp:posOffset>1583690</wp:posOffset>
            </wp:positionH>
            <wp:positionV relativeFrom="paragraph">
              <wp:posOffset>295910</wp:posOffset>
            </wp:positionV>
            <wp:extent cx="516890" cy="293370"/>
            <wp:effectExtent l="0" t="0" r="6985" b="1905"/>
            <wp:wrapNone/>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7"/>
                    <a:stretch>
                      <a:fillRect/>
                    </a:stretch>
                  </pic:blipFill>
                  <pic:spPr>
                    <a:xfrm>
                      <a:off x="0" y="0"/>
                      <a:ext cx="516890" cy="293370"/>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2021.7.13</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7D004"/>
    <w:multiLevelType w:val="singleLevel"/>
    <w:tmpl w:val="6A17D0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CC51CC"/>
    <w:rsid w:val="14AD7E28"/>
    <w:rsid w:val="18C97DF1"/>
    <w:rsid w:val="2D367B1A"/>
    <w:rsid w:val="3BC61990"/>
    <w:rsid w:val="3F5B68F9"/>
    <w:rsid w:val="3F650417"/>
    <w:rsid w:val="44BD6C35"/>
    <w:rsid w:val="508B22BD"/>
    <w:rsid w:val="52BD2DA3"/>
    <w:rsid w:val="54CE3EC7"/>
    <w:rsid w:val="626043E1"/>
    <w:rsid w:val="731D0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2021-07-14T08:32:13Z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