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杭州康恩贝制药有限公司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设备工程部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陆振宇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《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法律法规及其他要求清单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中缺少“浙江省节能降耗和能源资源优化配置“十四五”规划”“杭州市人民政府办公厅转发市发改委关于杭州市“十四五”规划编制目录的通知”，GB2589-2008标准已经过期失效。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245D5"/>
    <w:rsid w:val="669154A5"/>
    <w:rsid w:val="6D356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2021-07-13T01:10:32Z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645B0C748B5040CFAE4B398845A2E1F6</vt:lpwstr>
  </property>
</Properties>
</file>