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巴南区齐恩食品超市</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Q:29.07.08,29.13.01</w:t>
            </w:r>
          </w:p>
          <w:p>
            <w:pPr>
              <w:spacing w:line="240" w:lineRule="exact"/>
              <w:jc w:val="center"/>
              <w:rPr>
                <w:b/>
                <w:color w:val="000000" w:themeColor="text1"/>
                <w:sz w:val="20"/>
                <w:szCs w:val="20"/>
              </w:rPr>
            </w:pPr>
            <w:r>
              <w:rPr>
                <w:b/>
                <w:color w:val="000000" w:themeColor="text1"/>
                <w:sz w:val="20"/>
                <w:szCs w:val="20"/>
              </w:rPr>
              <w:t>E:29.07.08,29.13.01</w:t>
            </w:r>
          </w:p>
          <w:p>
            <w:pPr>
              <w:spacing w:line="240" w:lineRule="exact"/>
              <w:jc w:val="center"/>
              <w:rPr>
                <w:b/>
                <w:color w:val="000000" w:themeColor="text1"/>
                <w:sz w:val="20"/>
                <w:szCs w:val="20"/>
              </w:rPr>
            </w:pPr>
            <w:r>
              <w:rPr>
                <w:b/>
                <w:color w:val="000000" w:themeColor="text1"/>
                <w:sz w:val="20"/>
                <w:szCs w:val="20"/>
              </w:rPr>
              <w:t>O:29.07.08,29.13.01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p>
    <w:p>
      <w:pPr>
        <w:pStyle w:val="12"/>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巴南区齐恩食品超市</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重庆市巴南区龙洲大道1980号2-1</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重庆市巴南区龙洲大道1980号2-1</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龚金艳</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15320557232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何蒋鹏</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何蒋鹏</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陈雯</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Q：许可范围内的预包装食品（含冷藏冷冻食品）、散装食品（含冷藏冷冻食品、不含直接入口食品）、蔬菜、水果、鲜肉、水产品的销售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E：许可范围内的预包装食品（含冷藏冷冻食品）、散装食品（含冷藏冷冻食品、不含直接入口食品）、蔬菜、水果、鲜肉、水产品的销售所涉及场所的相关环境管理活动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O：许可范围内的预包装食品（含冷藏冷冻食品）、散装食品（含冷藏冷冻食品、不含直接入口食品）、蔬菜、水果、鲜肉、水产品的销售所涉及场所的相关职业健康安全管理活动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Q：29.07.08;29.13.01</w:t>
            </w:r>
          </w:p>
          <w:p>
            <w:pPr>
              <w:spacing w:line="320" w:lineRule="exact"/>
              <w:rPr>
                <w:rFonts w:ascii="宋体" w:hAnsi="宋体"/>
                <w:b/>
                <w:color w:val="000000" w:themeColor="text1"/>
                <w:sz w:val="20"/>
                <w:szCs w:val="20"/>
              </w:rPr>
            </w:pPr>
            <w:r>
              <w:rPr>
                <w:rFonts w:ascii="宋体" w:hAnsi="宋体"/>
                <w:b/>
                <w:color w:val="000000" w:themeColor="text1"/>
                <w:sz w:val="20"/>
                <w:szCs w:val="20"/>
              </w:rPr>
              <w:t>E：29.07.08;29.13.01</w:t>
            </w:r>
          </w:p>
          <w:p>
            <w:pPr>
              <w:spacing w:line="320" w:lineRule="exact"/>
              <w:rPr>
                <w:rFonts w:ascii="宋体" w:hAnsi="宋体"/>
                <w:b/>
                <w:color w:val="000000" w:themeColor="text1"/>
                <w:sz w:val="20"/>
                <w:szCs w:val="20"/>
              </w:rPr>
            </w:pPr>
            <w:r>
              <w:rPr>
                <w:rFonts w:ascii="宋体" w:hAnsi="宋体"/>
                <w:b/>
                <w:color w:val="000000" w:themeColor="text1"/>
                <w:sz w:val="20"/>
                <w:szCs w:val="20"/>
              </w:rPr>
              <w:t>O：29.07.08;29.13.01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2021-01-25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综合部</w:t>
            </w:r>
          </w:p>
        </w:tc>
        <w:tc>
          <w:tcPr>
            <w:tcW w:w="6804" w:type="dxa"/>
            <w:vAlign w:val="top"/>
          </w:tcPr>
          <w:p>
            <w:pPr>
              <w:jc w:val="left"/>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eastAsia="zh-CN"/>
              </w:rPr>
              <w:t>运营部、</w:t>
            </w:r>
            <w:r>
              <w:rPr>
                <w:rFonts w:hint="eastAsia" w:ascii="宋体" w:hAnsi="宋体" w:eastAsia="宋体" w:cs="Times New Roman"/>
                <w:b/>
                <w:color w:val="000000" w:themeColor="text1"/>
                <w:sz w:val="20"/>
                <w:szCs w:val="20"/>
                <w:lang w:val="en-US" w:eastAsia="zh-CN"/>
              </w:rPr>
              <w:t>市场部</w:t>
            </w:r>
          </w:p>
        </w:tc>
        <w:tc>
          <w:tcPr>
            <w:tcW w:w="6804" w:type="dxa"/>
            <w:vAlign w:val="top"/>
          </w:tcPr>
          <w:p>
            <w:pPr>
              <w:jc w:val="left"/>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rPr>
              <w:t>不合格品控制；纠正和预防措施控制；策划管理；过程监控管理；产品验收管理；监视和测量设备管理；服务过程管理；设备设施管理；合同管理；采购管理；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许可范围内的预包装食品（含冷藏冷冻食品）、散装食品（含冷藏冷冻食品、不含直接入口食品）、蔬菜、水果、鲜肉、水产品的销售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szCs w:val="21"/>
              </w:rPr>
              <w:t>水果和蔬菜中450种农药及相关化学品残留量的测定 液相色谱GB/T 20769-2008 、大米、蔬菜、水果中氯氟吡氧乙酸残留量的测定GB/T 22243-2008、辐照冷冻包装畜禽肉类卫生标准GB 14891.7-1997、辐照新鲜水果、蔬菜类卫生标准GB 14891.5-1997、GB 7718-2011 预包装食品标签通则；GB 28050-2011 预包装食品营养标签通则；GB 2760-2014 食品安全国家标准 食品添加剂使用标准；GB 2763-2014 食品安全国家标准 食品中农药最大残留限量； GB 2762-2012 食品安全国家标准 食品中污染物限量以及4789和5009系列标准、品安全法、消费者权益保护法、GB14881食品召回管理办法</w:t>
            </w:r>
            <w:r>
              <w:rPr>
                <w:rFonts w:hint="eastAsia"/>
                <w:szCs w:val="21"/>
                <w:lang w:val="en-US" w:eastAsia="zh-CN"/>
              </w:rPr>
              <w:t>及</w:t>
            </w:r>
            <w:r>
              <w:rPr>
                <w:rFonts w:hint="eastAsia" w:ascii="宋体" w:hAnsi="宋体"/>
                <w:szCs w:val="21"/>
              </w:rPr>
              <w:t>合同协议</w:t>
            </w:r>
            <w:r>
              <w:rPr>
                <w:rFonts w:hint="eastAsia"/>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26"/>
          <w:szCs w:val="2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restart"/>
            <w:textDirection w:val="tbRlV"/>
            <w:vAlign w:val="center"/>
          </w:tcPr>
          <w:p>
            <w:pPr>
              <w:spacing w:line="240" w:lineRule="exact"/>
              <w:ind w:left="211" w:right="113" w:hanging="21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Cs w:val="21"/>
              </w:rPr>
            </w:pPr>
            <w:r>
              <w:rPr>
                <w:rFonts w:ascii="宋体" w:hAnsi="宋体"/>
                <w:b/>
                <w:szCs w:val="21"/>
              </w:rPr>
              <w:t>1</w:t>
            </w:r>
            <w:r>
              <w:rPr>
                <w:rFonts w:hint="eastAsia" w:ascii="宋体" w:hAnsi="宋体"/>
                <w:b/>
                <w:szCs w:val="21"/>
              </w:rPr>
              <w:t>、组织及其环境的识别情况</w:t>
            </w:r>
          </w:p>
          <w:p>
            <w:pPr>
              <w:spacing w:line="0" w:lineRule="atLeast"/>
              <w:ind w:firstLine="420" w:firstLineChars="200"/>
              <w:jc w:val="left"/>
              <w:rPr>
                <w:rFonts w:ascii="宋体" w:hAnsi="宋体"/>
                <w:b/>
                <w:szCs w:val="21"/>
              </w:rPr>
            </w:pPr>
            <w:r>
              <w:rPr>
                <w:rFonts w:hint="eastAsia" w:ascii="宋体" w:hAnsi="宋体"/>
                <w:szCs w:val="21"/>
              </w:rPr>
              <w:t>组织对内外部因素、相关方需求和期望进行了充分的识别，策划和实</w:t>
            </w:r>
            <w:r>
              <w:rPr>
                <w:rFonts w:hint="eastAsia" w:ascii="宋体" w:hAnsi="宋体"/>
                <w:szCs w:val="21"/>
                <w:u w:val="none"/>
              </w:rPr>
              <w:t>施有效公司销售模式</w:t>
            </w:r>
            <w:r>
              <w:rPr>
                <w:rFonts w:hint="eastAsia" w:ascii="宋体" w:hAnsi="宋体"/>
                <w:szCs w:val="21"/>
                <w:u w:val="none"/>
                <w:lang w:eastAsia="zh-CN"/>
              </w:rPr>
              <w:t>。</w:t>
            </w:r>
            <w:r>
              <w:rPr>
                <w:rFonts w:hint="eastAsia" w:ascii="宋体" w:hAnsi="宋体" w:eastAsia="宋体" w:cs="Times New Roman"/>
                <w:szCs w:val="21"/>
              </w:rPr>
              <w:t>公司主要是依据顾客的需求进行销售服务</w:t>
            </w:r>
            <w:r>
              <w:rPr>
                <w:rFonts w:hint="eastAsia" w:ascii="宋体" w:hAnsi="宋体"/>
                <w:szCs w:val="21"/>
                <w:u w:val="none"/>
              </w:rPr>
              <w:t>，不存在设计和开发过程，因此标准“8.3产品和服务的设计和开发”不适用，该不适用不影响公司提供满足顾客要求和适</w:t>
            </w:r>
            <w:r>
              <w:rPr>
                <w:rFonts w:hint="eastAsia" w:ascii="宋体" w:hAnsi="宋体"/>
                <w:szCs w:val="21"/>
              </w:rPr>
              <w:t>用法律法规要求的产品的能力或责任。确定了体系的边界，基本适用。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numPr>
                <w:ilvl w:val="0"/>
                <w:numId w:val="2"/>
              </w:numPr>
              <w:spacing w:line="240" w:lineRule="exact"/>
              <w:rPr>
                <w:rFonts w:ascii="宋体" w:hAnsi="宋体"/>
                <w:b/>
                <w:szCs w:val="21"/>
              </w:rPr>
            </w:pPr>
            <w:r>
              <w:rPr>
                <w:rFonts w:hint="eastAsia" w:ascii="宋体" w:hAnsi="宋体"/>
                <w:b/>
                <w:szCs w:val="21"/>
              </w:rPr>
              <w:t>相关方需求和期望识别情况</w:t>
            </w:r>
          </w:p>
          <w:p>
            <w:pPr>
              <w:spacing w:line="240" w:lineRule="exact"/>
              <w:ind w:firstLine="420" w:firstLineChars="200"/>
              <w:rPr>
                <w:rFonts w:ascii="宋体" w:hAnsi="宋体"/>
                <w:b/>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服务质量符合要求、服务及时、价格合理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9"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rPr>
                <w:rFonts w:ascii="宋体" w:hAnsi="宋体"/>
                <w:b/>
                <w:szCs w:val="21"/>
              </w:rPr>
            </w:pPr>
            <w:r>
              <w:rPr>
                <w:rFonts w:hint="eastAsia" w:asciiTheme="minorEastAsia" w:hAnsiTheme="minorEastAsia" w:eastAsiaTheme="minorEastAsia" w:cstheme="minorEastAsia"/>
                <w:szCs w:val="21"/>
              </w:rPr>
              <w:t>“</w:t>
            </w:r>
            <w:bookmarkStart w:id="21" w:name="_Hlk76033326"/>
            <w:r>
              <w:rPr>
                <w:rFonts w:hint="eastAsia" w:ascii="宋体" w:hAnsi="宋体" w:eastAsia="宋体" w:cs="Times New Roman"/>
                <w:kern w:val="2"/>
                <w:sz w:val="21"/>
                <w:szCs w:val="21"/>
                <w:lang w:val="en-US" w:eastAsia="zh-CN" w:bidi="ar-SA"/>
              </w:rPr>
              <w:t>卫生安全，质量求生存</w:t>
            </w:r>
            <w:r>
              <w:rPr>
                <w:rFonts w:hint="eastAsia"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以人为本，杜绝食品事故</w:t>
            </w:r>
            <w:r>
              <w:rPr>
                <w:rFonts w:hint="eastAsia"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遵纪守法，杜绝环境污染</w:t>
            </w:r>
            <w:bookmarkEnd w:id="21"/>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80" w:lineRule="exact"/>
              <w:ind w:firstLine="210" w:firstLineChars="100"/>
              <w:rPr>
                <w:rFonts w:ascii="宋体" w:hAnsi="宋体"/>
                <w:b/>
                <w:szCs w:val="2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300" w:lineRule="exact"/>
              <w:rPr>
                <w:rFonts w:ascii="宋体" w:hAnsi="宋体"/>
                <w:b/>
                <w:szCs w:val="21"/>
              </w:rPr>
            </w:pPr>
            <w:r>
              <w:rPr>
                <w:rFonts w:ascii="宋体" w:hAnsi="宋体"/>
                <w:b/>
                <w:szCs w:val="21"/>
              </w:rPr>
              <w:t>5.QMS</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000000" w:themeColor="text1"/>
                <w:sz w:val="20"/>
                <w:szCs w:val="20"/>
              </w:rPr>
              <w:t>合同评审、销售管理过程。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其中关键过程有：销售过程。</w:t>
            </w:r>
          </w:p>
          <w:p>
            <w:pPr>
              <w:tabs>
                <w:tab w:val="left" w:pos="540"/>
              </w:tabs>
              <w:spacing w:line="300" w:lineRule="exact"/>
              <w:ind w:left="211" w:hanging="211" w:hangingChars="100"/>
              <w:rPr>
                <w:rFonts w:hint="eastAsia" w:ascii="宋体" w:hAnsi="宋体" w:eastAsia="宋体"/>
                <w:b/>
                <w:szCs w:val="21"/>
                <w:lang w:eastAsia="zh-CN"/>
              </w:rPr>
            </w:pPr>
            <w:r>
              <w:rPr>
                <w:rFonts w:hint="eastAsia" w:ascii="宋体" w:hAnsi="宋体"/>
                <w:b/>
                <w:szCs w:val="21"/>
              </w:rPr>
              <w:t>需要确认过程：销售</w:t>
            </w:r>
            <w:r>
              <w:rPr>
                <w:rFonts w:hint="eastAsia" w:ascii="宋体" w:hAnsi="宋体"/>
                <w:b/>
                <w:color w:val="000000" w:themeColor="text1"/>
                <w:sz w:val="20"/>
                <w:szCs w:val="20"/>
              </w:rPr>
              <w:t>过程</w:t>
            </w:r>
            <w:r>
              <w:rPr>
                <w:rFonts w:hint="eastAsia" w:ascii="宋体" w:hAnsi="宋体"/>
                <w:b/>
                <w:color w:val="000000" w:themeColor="text1"/>
                <w:sz w:val="20"/>
                <w:szCs w:val="20"/>
                <w:lang w:eastAsia="zh-CN"/>
              </w:rPr>
              <w:t>。</w:t>
            </w:r>
          </w:p>
          <w:p>
            <w:pPr>
              <w:tabs>
                <w:tab w:val="left" w:pos="1080"/>
              </w:tabs>
              <w:spacing w:line="400" w:lineRule="exact"/>
              <w:rPr>
                <w:rFonts w:ascii="宋体" w:hAnsi="宋体"/>
                <w:szCs w:val="21"/>
                <w:u w:val="single"/>
              </w:rPr>
            </w:pPr>
            <w:r>
              <w:rPr>
                <w:rFonts w:hint="eastAsia" w:ascii="宋体" w:hAnsi="宋体"/>
                <w:b/>
                <w:szCs w:val="21"/>
              </w:rPr>
              <w:t>删减条款是，</w:t>
            </w:r>
            <w:r>
              <w:rPr>
                <w:rFonts w:hint="eastAsia" w:ascii="宋体" w:hAnsi="宋体"/>
                <w:b/>
                <w:szCs w:val="21"/>
                <w:u w:val="single"/>
              </w:rPr>
              <w:t xml:space="preserve">8.3 </w:t>
            </w:r>
            <w:r>
              <w:rPr>
                <w:rFonts w:hint="eastAsia" w:ascii="宋体" w:hAnsi="宋体"/>
                <w:b/>
                <w:szCs w:val="21"/>
              </w:rPr>
              <w:t xml:space="preserve">  删减理由：</w:t>
            </w:r>
            <w:r>
              <w:rPr>
                <w:rFonts w:hint="eastAsia" w:ascii="宋体" w:hAnsi="宋体"/>
                <w:szCs w:val="21"/>
                <w:u w:val="single"/>
              </w:rPr>
              <w:t>由于</w:t>
            </w:r>
            <w:r>
              <w:rPr>
                <w:rFonts w:hint="eastAsia" w:ascii="宋体" w:hAnsi="宋体" w:eastAsia="宋体" w:cs="Times New Roman"/>
                <w:szCs w:val="21"/>
                <w:u w:val="single"/>
              </w:rPr>
              <w:t>公司主要是依据顾客的需求进行销售服务，</w:t>
            </w:r>
            <w:r>
              <w:rPr>
                <w:rFonts w:hint="eastAsia" w:ascii="宋体" w:hAnsi="宋体"/>
                <w:szCs w:val="21"/>
                <w:u w:val="single"/>
              </w:rPr>
              <w:t>不存在设计和开发过程，因此标准“8.3产品和服务的设计和开发”不适用，该不适用不影响公司提供满足顾客要求和适用法律法规要求的产品的能力或责任。</w:t>
            </w:r>
          </w:p>
          <w:p>
            <w:pPr>
              <w:spacing w:line="280" w:lineRule="exact"/>
              <w:ind w:firstLine="210" w:firstLineChars="100"/>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w:t>
            </w:r>
            <w:r>
              <w:rPr>
                <w:rFonts w:ascii="宋体" w:hAnsi="宋体"/>
                <w:b/>
                <w:szCs w:val="21"/>
              </w:rPr>
              <w:t>EMS</w:t>
            </w:r>
            <w:r>
              <w:rPr>
                <w:rFonts w:hint="eastAsia" w:ascii="宋体" w:hAnsi="宋体"/>
                <w:b/>
                <w:szCs w:val="21"/>
              </w:rPr>
              <w:t>环境因素</w:t>
            </w:r>
          </w:p>
          <w:p>
            <w:pPr>
              <w:spacing w:line="300" w:lineRule="exact"/>
              <w:rPr>
                <w:rFonts w:ascii="宋体" w:hAnsi="宋体"/>
                <w:b/>
                <w:szCs w:val="21"/>
              </w:rPr>
            </w:pPr>
            <w:r>
              <w:rPr>
                <w:rFonts w:hint="eastAsia" w:ascii="宋体" w:hAnsi="宋体"/>
                <w:b/>
                <w:szCs w:val="21"/>
              </w:rPr>
              <w:t>（环境因素辨识是否充分、重要环境因素评价合理性，以及环境因素动态变更的及时性等）</w:t>
            </w:r>
          </w:p>
          <w:p>
            <w:pPr>
              <w:spacing w:line="240" w:lineRule="exact"/>
              <w:ind w:firstLine="210" w:firstLineChars="100"/>
              <w:rPr>
                <w:rFonts w:ascii="宋体" w:hAnsi="宋体" w:eastAsiaTheme="minorEastAsia"/>
                <w:b/>
                <w:szCs w:val="21"/>
              </w:rPr>
            </w:pPr>
            <w:r>
              <w:rPr>
                <w:rFonts w:hint="eastAsia" w:ascii="宋体" w:hAnsi="宋体" w:cs="宋体"/>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Pr>
                <w:rFonts w:hint="eastAsia" w:ascii="宋体" w:hAnsi="宋体" w:cs="宋体"/>
                <w:szCs w:val="21"/>
              </w:rPr>
              <w:t>包括：固废的控制、火灾的管理方案等。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 xml:space="preserve">7. </w:t>
            </w:r>
            <w:r>
              <w:rPr>
                <w:rFonts w:hint="eastAsia" w:ascii="宋体" w:hAnsi="宋体"/>
                <w:b/>
                <w:szCs w:val="21"/>
              </w:rPr>
              <w:t>■</w:t>
            </w:r>
            <w:r>
              <w:rPr>
                <w:rFonts w:ascii="宋体" w:hAnsi="宋体"/>
                <w:b/>
                <w:szCs w:val="21"/>
              </w:rPr>
              <w:t>OHSMS</w:t>
            </w:r>
            <w:r>
              <w:rPr>
                <w:rFonts w:hint="eastAsia" w:ascii="宋体" w:hAnsi="宋体"/>
                <w:b/>
                <w:szCs w:val="21"/>
              </w:rPr>
              <w:t>职业健康安全危险源</w:t>
            </w:r>
          </w:p>
          <w:p>
            <w:pPr>
              <w:spacing w:line="240" w:lineRule="exact"/>
              <w:rPr>
                <w:rFonts w:ascii="宋体" w:hAnsi="宋体"/>
                <w:b/>
                <w:szCs w:val="21"/>
              </w:rPr>
            </w:pPr>
            <w:r>
              <w:rPr>
                <w:rFonts w:hint="eastAsia" w:ascii="宋体" w:hAnsi="宋体"/>
                <w:b/>
                <w:szCs w:val="21"/>
              </w:rPr>
              <w:t>（职业健康安全危险源辨识是否充分、风险评价合理性，以及风险评价动态变更的及时性等）</w:t>
            </w:r>
          </w:p>
          <w:p>
            <w:pPr>
              <w:spacing w:line="240" w:lineRule="exact"/>
              <w:ind w:firstLine="210" w:firstLineChars="100"/>
              <w:rPr>
                <w:rFonts w:ascii="宋体" w:hAnsi="宋体"/>
                <w:b/>
                <w:szCs w:val="21"/>
              </w:rPr>
            </w:pPr>
            <w:r>
              <w:rPr>
                <w:rFonts w:hint="eastAsia" w:ascii="宋体" w:hAnsi="宋体" w:cs="宋体"/>
                <w:szCs w:val="21"/>
              </w:rPr>
              <w:t>组织建立了危险源识别、评价控制程序，识别评价了危险源、风险相关的过程，评价出了</w:t>
            </w:r>
            <w:r>
              <w:rPr>
                <w:rFonts w:hint="eastAsia" w:ascii="宋体" w:hAnsi="宋体"/>
                <w:szCs w:val="21"/>
              </w:rPr>
              <w:t>火灾、触电、交通意外伤害</w:t>
            </w:r>
            <w:r>
              <w:rPr>
                <w:rFonts w:hint="eastAsia" w:ascii="宋体" w:hAnsi="宋体" w:cs="宋体"/>
                <w:szCs w:val="21"/>
              </w:rPr>
              <w:t>等重要危险源，与之相关的过程有客户需求评审、采购、销售、售后服务等，针对重要危险源制定了管理方案。控制措施实施有效。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pStyle w:val="12"/>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hint="eastAsia" w:ascii="宋体" w:hAnsi="宋体"/>
                <w:b/>
                <w:szCs w:val="21"/>
              </w:rPr>
              <w:t>9</w:t>
            </w:r>
            <w:r>
              <w:rPr>
                <w:rFonts w:ascii="宋体" w:hAnsi="宋体"/>
                <w:b/>
                <w:szCs w:val="21"/>
              </w:rPr>
              <w:t xml:space="preserve">. </w:t>
            </w:r>
            <w:r>
              <w:rPr>
                <w:rFonts w:hint="eastAsia" w:ascii="宋体" w:hAnsi="宋体"/>
                <w:b/>
                <w:szCs w:val="21"/>
              </w:rPr>
              <w:t>目标、方案</w:t>
            </w:r>
          </w:p>
          <w:p>
            <w:pPr>
              <w:spacing w:line="300" w:lineRule="exact"/>
              <w:rPr>
                <w:rFonts w:ascii="宋体" w:hAnsi="宋体"/>
                <w:b/>
                <w:szCs w:val="21"/>
              </w:rPr>
            </w:pPr>
            <w:r>
              <w:rPr>
                <w:rFonts w:hint="eastAsia" w:ascii="宋体" w:hAnsi="宋体"/>
                <w:b/>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szCs w:val="21"/>
                <w:highlight w:val="none"/>
              </w:rPr>
              <w:t>质量、环境、职业健康安全目标   考</w:t>
            </w:r>
            <w:r>
              <w:rPr>
                <w:rFonts w:hint="eastAsia" w:asciiTheme="minorEastAsia" w:hAnsiTheme="minorEastAsia" w:eastAsiaTheme="minorEastAsia" w:cstheme="minorEastAsia"/>
                <w:color w:val="auto"/>
                <w:szCs w:val="21"/>
                <w:highlight w:val="none"/>
              </w:rPr>
              <w:t>核情况：（202</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2021年6</w:t>
            </w:r>
            <w:r>
              <w:rPr>
                <w:rFonts w:hint="eastAsia" w:asciiTheme="minorEastAsia" w:hAnsiTheme="minorEastAsia" w:eastAsiaTheme="minorEastAsia" w:cstheme="minorEastAsia"/>
                <w:color w:val="auto"/>
                <w:szCs w:val="21"/>
                <w:highlight w:val="none"/>
              </w:rPr>
              <w:t>月）</w:t>
            </w:r>
          </w:p>
          <w:p>
            <w:pPr>
              <w:tabs>
                <w:tab w:val="left" w:pos="3731"/>
              </w:tabs>
              <w:adjustRightInd w:val="0"/>
              <w:snapToGrid w:val="0"/>
              <w:spacing w:line="312"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1，客户满意度≥95分 </w:t>
            </w:r>
          </w:p>
          <w:p>
            <w:pPr>
              <w:tabs>
                <w:tab w:val="left" w:pos="3731"/>
              </w:tabs>
              <w:adjustRightInd w:val="0"/>
              <w:snapToGrid w:val="0"/>
              <w:spacing w:line="312"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2.对固体废弃物100%处理 </w:t>
            </w:r>
          </w:p>
          <w:p>
            <w:pPr>
              <w:tabs>
                <w:tab w:val="left" w:pos="3731"/>
              </w:tabs>
              <w:adjustRightInd w:val="0"/>
              <w:snapToGrid w:val="0"/>
              <w:spacing w:line="312"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3.火灾事故发生率为0 </w:t>
            </w:r>
          </w:p>
          <w:p>
            <w:pPr>
              <w:tabs>
                <w:tab w:val="left" w:pos="3731"/>
              </w:tabs>
              <w:adjustRightInd w:val="0"/>
              <w:snapToGrid w:val="0"/>
              <w:spacing w:line="312" w:lineRule="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4.意外事故发生率为0</w:t>
            </w:r>
            <w:r>
              <w:rPr>
                <w:rFonts w:hint="eastAsia" w:asciiTheme="minorEastAsia" w:hAnsiTheme="minorEastAsia" w:eastAsiaTheme="minorEastAsia" w:cstheme="minorEastAsia"/>
                <w:szCs w:val="21"/>
                <w:lang w:val="en-US" w:eastAsia="zh-CN"/>
              </w:rPr>
              <w:t>。</w:t>
            </w:r>
          </w:p>
          <w:p>
            <w:pPr>
              <w:tabs>
                <w:tab w:val="left" w:pos="3731"/>
              </w:tabs>
              <w:adjustRightInd w:val="0"/>
              <w:snapToGrid w:val="0"/>
              <w:spacing w:line="312" w:lineRule="auto"/>
              <w:rPr>
                <w:rFonts w:ascii="宋体" w:hAnsi="宋体"/>
                <w:b/>
                <w:szCs w:val="21"/>
              </w:rPr>
            </w:pPr>
            <w:r>
              <w:rPr>
                <w:rFonts w:hint="eastAsia" w:asciiTheme="minorEastAsia" w:hAnsiTheme="minorEastAsia" w:eastAsiaTheme="minorEastAsia" w:cstheme="minorEastAsia"/>
                <w:szCs w:val="21"/>
              </w:rPr>
              <w:t>拟定有管理方案和预案。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10" w:firstLineChars="100"/>
              <w:rPr>
                <w:rFonts w:ascii="宋体" w:hAnsi="宋体"/>
                <w:b/>
                <w:szCs w:val="21"/>
              </w:rPr>
            </w:pPr>
            <w:r>
              <w:rPr>
                <w:rFonts w:hint="eastAsia" w:ascii="宋体" w:hAnsi="宋体" w:cs="宋体"/>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Cs w:val="21"/>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highlight w:val="none"/>
              </w:rPr>
            </w:pPr>
            <w:r>
              <w:rPr>
                <w:rFonts w:hint="eastAsia" w:ascii="宋体" w:hAnsi="宋体"/>
                <w:b/>
                <w:szCs w:val="21"/>
                <w:highlight w:val="none"/>
              </w:rPr>
              <w:t>设备设施（包括信息系统）、</w:t>
            </w:r>
          </w:p>
          <w:p>
            <w:pPr>
              <w:spacing w:line="320" w:lineRule="exact"/>
              <w:rPr>
                <w:rFonts w:ascii="宋体" w:hAnsi="宋体"/>
                <w:b/>
                <w:szCs w:val="21"/>
                <w:highlight w:val="none"/>
              </w:rPr>
            </w:pPr>
            <w:r>
              <w:rPr>
                <w:rFonts w:hint="eastAsia" w:ascii="宋体" w:hAnsi="宋体"/>
                <w:szCs w:val="21"/>
                <w:highlight w:val="none"/>
                <w:lang w:val="en-US" w:eastAsia="zh-CN"/>
              </w:rPr>
              <w:t>办公及经营场所共约500平方米左右，库房面积60平方米，其中有20立方米的冷冻库1个</w:t>
            </w:r>
            <w:r>
              <w:rPr>
                <w:rFonts w:hint="eastAsia" w:ascii="宋体" w:hAnsi="宋体"/>
                <w:szCs w:val="21"/>
                <w:highlight w:val="none"/>
              </w:rPr>
              <w:t>。</w:t>
            </w:r>
            <w:r>
              <w:rPr>
                <w:rFonts w:hint="eastAsia" w:ascii="宋体" w:hAnsi="宋体" w:cs="宋体"/>
                <w:szCs w:val="21"/>
                <w:highlight w:val="none"/>
              </w:rPr>
              <w:t>主要生产设备</w:t>
            </w:r>
            <w:r>
              <w:rPr>
                <w:rFonts w:hint="eastAsia"/>
                <w:color w:val="auto"/>
                <w:kern w:val="2"/>
                <w:sz w:val="21"/>
                <w:szCs w:val="21"/>
                <w:highlight w:val="none"/>
              </w:rPr>
              <w:t>小汽车、</w:t>
            </w:r>
            <w:r>
              <w:rPr>
                <w:rFonts w:hint="eastAsia" w:ascii="宋体" w:hAnsi="宋体" w:cs="Times New Roman"/>
                <w:szCs w:val="21"/>
                <w:highlight w:val="none"/>
                <w:lang w:val="en-US" w:eastAsia="zh-CN"/>
              </w:rPr>
              <w:t>冰柜、风幕柜、收款机、</w:t>
            </w:r>
            <w:r>
              <w:rPr>
                <w:rFonts w:hint="eastAsia" w:ascii="宋体" w:hAnsi="宋体" w:eastAsia="宋体" w:cs="Times New Roman"/>
                <w:szCs w:val="21"/>
                <w:highlight w:val="none"/>
              </w:rPr>
              <w:t>电脑及办公设备</w:t>
            </w:r>
            <w:r>
              <w:rPr>
                <w:color w:val="auto"/>
                <w:kern w:val="2"/>
                <w:sz w:val="21"/>
                <w:szCs w:val="21"/>
                <w:highlight w:val="none"/>
              </w:rPr>
              <w:t>等</w:t>
            </w:r>
            <w:r>
              <w:rPr>
                <w:rFonts w:hint="eastAsia" w:ascii="宋体" w:hAnsi="宋体" w:cs="宋体"/>
                <w:szCs w:val="21"/>
                <w:highlight w:val="none"/>
              </w:rPr>
              <w:t>，可以满足</w:t>
            </w:r>
            <w:r>
              <w:rPr>
                <w:rFonts w:hint="eastAsia" w:ascii="宋体" w:hAnsi="宋体"/>
                <w:szCs w:val="21"/>
                <w:highlight w:val="none"/>
                <w:lang w:eastAsia="zh-CN"/>
              </w:rPr>
              <w:t>许可范围内的预包装食品（含冷藏冷冻食品）、散装食品（含冷藏冷冻食品、不含直接入口食品）、蔬菜、水果、鲜肉、水产品的销售</w:t>
            </w:r>
            <w:r>
              <w:rPr>
                <w:rFonts w:hint="eastAsia" w:ascii="宋体" w:hAnsi="宋体"/>
                <w:szCs w:val="21"/>
                <w:highlight w:val="none"/>
              </w:rPr>
              <w:t>的需要</w:t>
            </w:r>
            <w:r>
              <w:rPr>
                <w:rFonts w:hint="eastAsia" w:ascii="宋体" w:hAnsi="宋体" w:cs="宋体"/>
                <w:szCs w:val="21"/>
                <w:highlight w:val="none"/>
              </w:rPr>
              <w:t>。特种设备：</w:t>
            </w:r>
            <w:r>
              <w:rPr>
                <w:rFonts w:hint="eastAsia"/>
                <w:szCs w:val="21"/>
                <w:highlight w:val="none"/>
              </w:rPr>
              <w:t>无</w:t>
            </w:r>
            <w:r>
              <w:rPr>
                <w:rFonts w:hint="eastAsia" w:ascii="宋体" w:hAnsi="宋体"/>
                <w:szCs w:val="21"/>
                <w:highlight w:val="none"/>
              </w:rPr>
              <w:t>。</w:t>
            </w:r>
            <w:r>
              <w:rPr>
                <w:rFonts w:hint="eastAsia" w:ascii="宋体" w:hAnsi="宋体" w:cs="宋体"/>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过程运行环境</w:t>
            </w:r>
          </w:p>
          <w:p>
            <w:pPr>
              <w:spacing w:line="240" w:lineRule="exact"/>
              <w:ind w:firstLine="210" w:firstLineChars="100"/>
              <w:rPr>
                <w:rFonts w:ascii="宋体" w:hAnsi="宋体"/>
                <w:b/>
                <w:szCs w:val="21"/>
              </w:rPr>
            </w:pPr>
            <w:r>
              <w:rPr>
                <w:rFonts w:hint="eastAsia" w:ascii="宋体" w:hAnsi="宋体"/>
                <w:szCs w:val="21"/>
              </w:rPr>
              <w:t>办公区域内设备布置合理，照明设施齐全，均配备了灭火器、消防栓等设施。目前公司从事服务及工作性质</w:t>
            </w:r>
            <w:r>
              <w:rPr>
                <w:rFonts w:hint="eastAsia" w:ascii="宋体" w:hAnsi="宋体"/>
                <w:szCs w:val="21"/>
                <w:lang w:val="de-DE"/>
              </w:rPr>
              <w:t>的对</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highlight w:val="none"/>
              </w:rPr>
            </w:pPr>
            <w:r>
              <w:rPr>
                <w:rFonts w:hint="eastAsia" w:ascii="宋体" w:hAnsi="宋体"/>
                <w:b/>
                <w:szCs w:val="21"/>
              </w:rPr>
              <w:t>监视和测量资源</w:t>
            </w:r>
          </w:p>
          <w:p>
            <w:pPr>
              <w:spacing w:line="400" w:lineRule="exact"/>
              <w:rPr>
                <w:rFonts w:ascii="宋体" w:hAnsi="宋体"/>
                <w:b/>
                <w:szCs w:val="21"/>
              </w:rPr>
            </w:pPr>
            <w:r>
              <w:rPr>
                <w:rFonts w:hint="eastAsia" w:ascii="宋体" w:hAnsi="宋体" w:cs="Times New Roman"/>
                <w:szCs w:val="21"/>
                <w:highlight w:val="none"/>
                <w:lang w:val="en-US" w:eastAsia="zh-CN"/>
              </w:rPr>
              <w:t>电子台秤、条码标签秤、农药残留检测仪等</w:t>
            </w: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以上检具均采用委外送检，提供有以上检具的有效校准证书</w:t>
            </w:r>
            <w:r>
              <w:rPr>
                <w:rFonts w:hint="eastAsia" w:ascii="宋体" w:hAnsi="宋体" w:eastAsia="宋体" w:cs="Times New Roman"/>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环保设施：</w:t>
            </w:r>
            <w:r>
              <w:rPr>
                <w:rFonts w:hint="eastAsia" w:ascii="宋体" w:hAnsi="宋体"/>
                <w:b/>
                <w:sz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职业健康安全设施：</w:t>
            </w:r>
            <w:r>
              <w:rPr>
                <w:rFonts w:hint="eastAsia" w:ascii="宋体" w:hAnsi="宋体"/>
                <w:b/>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8"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Cs w:val="21"/>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宋体" w:hAnsi="宋体"/>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ascii="宋体" w:hAnsi="宋体"/>
                <w:b/>
                <w:szCs w:val="2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QMS关键工序(过程)特殊过程为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服务质量实施检查与验收的管理要求。内容基本具备全面性、系统性及可操作性。质量检查与验收交付客户时予以实现，范围包括：过程、最终产品。以此保证持续向顾客稳定提供稳定合格的服务。</w:t>
            </w:r>
          </w:p>
          <w:p>
            <w:pPr>
              <w:spacing w:line="240" w:lineRule="exact"/>
              <w:rPr>
                <w:rFonts w:ascii="宋体" w:hAnsi="宋体"/>
                <w:b/>
                <w:szCs w:val="21"/>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.QMS国家/地方技术监督部门监测（检测、委托检测、定期监测、型式试验等）、抽查结果</w:t>
            </w:r>
          </w:p>
          <w:p>
            <w:pPr>
              <w:spacing w:line="300" w:lineRule="exact"/>
              <w:jc w:val="left"/>
              <w:rPr>
                <w:rFonts w:hint="eastAsia"/>
                <w:szCs w:val="21"/>
                <w:highlight w:val="none"/>
              </w:rPr>
            </w:pPr>
            <w:r>
              <w:rPr>
                <w:rFonts w:hint="eastAsia"/>
                <w:szCs w:val="21"/>
                <w:highlight w:val="none"/>
              </w:rPr>
              <w:t>无</w:t>
            </w:r>
          </w:p>
          <w:p>
            <w:pPr>
              <w:spacing w:line="300" w:lineRule="exact"/>
              <w:jc w:val="left"/>
              <w:rPr>
                <w:rFonts w:ascii="宋体" w:hAnsi="宋体"/>
                <w:b/>
                <w:szCs w:val="21"/>
              </w:rPr>
            </w:pPr>
            <w:r>
              <w:rPr>
                <w:rFonts w:hint="eastAsia"/>
                <w:b/>
                <w:color w:val="000000" w:themeColor="text1"/>
                <w:sz w:val="20"/>
                <w:szCs w:val="20"/>
                <w:highlight w:val="none"/>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b/>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20" w:firstLineChars="200"/>
              <w:rPr>
                <w:rFonts w:ascii="宋体" w:hAnsi="宋体"/>
                <w:b/>
                <w:szCs w:val="21"/>
              </w:rPr>
            </w:pPr>
            <w:r>
              <w:rPr>
                <w:rFonts w:hint="eastAsia" w:asciiTheme="minorEastAsia" w:hAnsiTheme="minorEastAsia" w:eastAsiaTheme="minorEastAsia"/>
                <w:bCs/>
                <w:iCs/>
                <w:szCs w:val="21"/>
              </w:rPr>
              <w:t>组织重要环境因素为潜在火灾、固废排放，需要应对的风险和机遇相关的过程为设备销售、垃圾分类收集、运输过程，建立了控制过程的识别、策划控制程序，控制措施实施有效性（包括组织自身的污染预防控制及对相关方的控制）；组织在运行策划时，基于产品生命周期的思维，识别了整个过程的环境影响。具体控制措施，包括：固废的控制、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15" w:firstLineChars="150"/>
              <w:rPr>
                <w:rFonts w:ascii="宋体" w:hAnsi="宋体"/>
                <w:b/>
                <w:szCs w:val="21"/>
              </w:rPr>
            </w:pPr>
            <w:r>
              <w:rPr>
                <w:rFonts w:hint="eastAsia" w:asciiTheme="minorEastAsia" w:hAnsiTheme="minorEastAsia" w:eastAsiaTheme="minorEastAsia"/>
                <w:bCs/>
                <w:iCs/>
                <w:szCs w:val="21"/>
              </w:rPr>
              <w:t>组织建立了危险源识别、评价控制程序，识别评价了危险源、风险相关的过程，评价出了重要危险源（火灾、</w:t>
            </w:r>
            <w:r>
              <w:rPr>
                <w:rFonts w:hint="eastAsia" w:asciiTheme="minorEastAsia" w:hAnsiTheme="minorEastAsia" w:eastAsiaTheme="minorEastAsia"/>
                <w:bCs/>
                <w:iCs/>
                <w:szCs w:val="21"/>
                <w:lang w:val="en-US" w:eastAsia="zh-CN"/>
              </w:rPr>
              <w:t>冻伤</w:t>
            </w:r>
            <w:r>
              <w:rPr>
                <w:rFonts w:hint="eastAsia" w:asciiTheme="minorEastAsia" w:hAnsiTheme="minorEastAsia" w:eastAsiaTheme="minorEastAsia"/>
                <w:bCs/>
                <w:iCs/>
                <w:szCs w:val="21"/>
              </w:rPr>
              <w:t>等），与之相关的过程有合同评审、产品采购、销售过程。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b/>
                <w:szCs w:val="21"/>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10. </w:t>
            </w:r>
            <w:r>
              <w:rPr>
                <w:rFonts w:hint="eastAsia" w:ascii="宋体" w:hAnsi="宋体"/>
                <w:b/>
                <w:szCs w:val="21"/>
              </w:rPr>
              <w:t>对特种设备的维护，检定</w:t>
            </w:r>
            <w:r>
              <w:rPr>
                <w:rFonts w:ascii="宋体" w:hAnsi="宋体"/>
                <w:b/>
                <w:szCs w:val="21"/>
              </w:rPr>
              <w:t>;</w:t>
            </w:r>
            <w:r>
              <w:rPr>
                <w:rFonts w:hint="eastAsia" w:ascii="宋体" w:hAnsi="宋体"/>
                <w:b/>
                <w:szCs w:val="21"/>
              </w:rPr>
              <w:t>（</w:t>
            </w:r>
            <w:r>
              <w:rPr>
                <w:rFonts w:ascii="宋体" w:hAnsi="宋体"/>
                <w:b/>
                <w:szCs w:val="21"/>
              </w:rPr>
              <w:t>适用时</w:t>
            </w:r>
            <w:r>
              <w:rPr>
                <w:rFonts w:hint="eastAsia" w:ascii="宋体" w:hAnsi="宋体"/>
                <w:b/>
                <w:szCs w:val="21"/>
              </w:rPr>
              <w:t>）</w:t>
            </w:r>
          </w:p>
          <w:p>
            <w:pPr>
              <w:ind w:left="210" w:leftChars="100" w:firstLine="105" w:firstLineChars="50"/>
              <w:jc w:val="left"/>
              <w:rPr>
                <w:rFonts w:ascii="宋体" w:hAnsi="宋体"/>
                <w:b/>
                <w:szCs w:val="21"/>
              </w:rPr>
            </w:pPr>
            <w:r>
              <w:rPr>
                <w:rFonts w:hint="eastAsia" w:ascii="宋体" w:hAnsi="宋体"/>
                <w:b/>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11 .</w:t>
            </w:r>
            <w:r>
              <w:rPr>
                <w:rFonts w:hint="eastAsia" w:ascii="宋体" w:hAnsi="宋体"/>
                <w:b/>
                <w:szCs w:val="21"/>
              </w:rPr>
              <w:t>对危险化学品销售、使用、储存、运输处置，规定的执行力度</w:t>
            </w:r>
            <w:r>
              <w:rPr>
                <w:rFonts w:ascii="宋体" w:hAnsi="宋体"/>
                <w:b/>
                <w:szCs w:val="21"/>
              </w:rPr>
              <w:t>(</w:t>
            </w:r>
            <w:r>
              <w:rPr>
                <w:rFonts w:hint="eastAsia" w:ascii="宋体" w:hAnsi="宋体"/>
                <w:b/>
                <w:szCs w:val="21"/>
              </w:rPr>
              <w:t>必要时</w:t>
            </w:r>
            <w:r>
              <w:rPr>
                <w:rFonts w:ascii="宋体" w:hAnsi="宋体"/>
                <w:b/>
                <w:szCs w:val="21"/>
              </w:rPr>
              <w:t>);</w:t>
            </w:r>
          </w:p>
          <w:p>
            <w:pPr>
              <w:spacing w:line="240" w:lineRule="exact"/>
              <w:rPr>
                <w:rFonts w:ascii="宋体" w:hAnsi="宋体"/>
                <w:b/>
                <w:szCs w:val="21"/>
              </w:rPr>
            </w:pPr>
            <w:r>
              <w:rPr>
                <w:rFonts w:hint="eastAsia" w:ascii="宋体" w:hAnsi="宋体"/>
                <w:b/>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b/>
                <w:szCs w:val="21"/>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szCs w:val="21"/>
              </w:rPr>
              <w:t>。同时，质量目标得</w:t>
            </w:r>
            <w:r>
              <w:rPr>
                <w:rFonts w:hint="eastAsia" w:ascii="宋体" w:hAnsi="宋体" w:cs="宋体"/>
                <w:szCs w:val="21"/>
                <w:highlight w:val="none"/>
              </w:rPr>
              <w:t>到沟通和监视评价，通过数据的汇总统计、描述性统计等方法对目标进行了测量，总体已达到或超过了规定的目标值。通过202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b/>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w:t>
            </w:r>
            <w:r>
              <w:rPr>
                <w:rFonts w:hint="eastAsia" w:ascii="宋体" w:hAnsi="宋体" w:cs="宋体"/>
                <w:color w:val="000000"/>
                <w:szCs w:val="21"/>
                <w:highlight w:val="none"/>
              </w:rPr>
              <w:t>信息的利用上不够，需要改善。近年来未发生重大顾客投诉和产品质量事故。顾客</w:t>
            </w:r>
            <w:r>
              <w:rPr>
                <w:rFonts w:hint="eastAsia" w:ascii="宋体" w:hAnsi="宋体" w:cs="宋体"/>
                <w:szCs w:val="21"/>
                <w:highlight w:val="none"/>
              </w:rPr>
              <w:t>满意度调查按规定实施，202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月实施，满意度评价9</w:t>
            </w:r>
            <w:r>
              <w:rPr>
                <w:rFonts w:hint="eastAsia" w:ascii="宋体" w:hAnsi="宋体" w:cs="宋体"/>
                <w:szCs w:val="21"/>
                <w:highlight w:val="none"/>
                <w:lang w:val="en-US" w:eastAsia="zh-CN"/>
              </w:rPr>
              <w:t>5</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400" w:lineRule="exact"/>
              <w:rPr>
                <w:rFonts w:ascii="宋体" w:hAnsi="宋体"/>
                <w:b/>
                <w:szCs w:val="21"/>
              </w:rPr>
            </w:pPr>
            <w:r>
              <w:rPr>
                <w:rFonts w:hint="eastAsia" w:ascii="宋体" w:hAnsi="宋体" w:cs="宋体"/>
                <w:szCs w:val="21"/>
              </w:rPr>
              <w:t>建立有《内部审核控制程序》，规定了内审频次一年一次，内审时间：</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宋体" w:hAnsi="宋体" w:cs="Times New Roman"/>
                <w:szCs w:val="21"/>
              </w:rPr>
              <w:t>涉及综合部</w:t>
            </w:r>
            <w:r>
              <w:rPr>
                <w:rFonts w:hint="eastAsia" w:ascii="宋体" w:hAnsi="宋体" w:cs="Times New Roman"/>
                <w:szCs w:val="21"/>
                <w:lang w:val="en-US" w:eastAsia="zh-CN"/>
              </w:rPr>
              <w:t>ES6.1</w:t>
            </w:r>
            <w:r>
              <w:rPr>
                <w:rFonts w:hint="eastAsia" w:ascii="宋体" w:hAnsi="宋体" w:cs="Times New Roman"/>
                <w:szCs w:val="21"/>
              </w:rPr>
              <w:t>.</w:t>
            </w:r>
            <w:r>
              <w:rPr>
                <w:rFonts w:hint="eastAsia" w:ascii="宋体" w:hAnsi="宋体" w:cs="Times New Roman"/>
                <w:szCs w:val="21"/>
                <w:lang w:val="en-US" w:eastAsia="zh-CN"/>
              </w:rPr>
              <w:t>3</w:t>
            </w:r>
            <w:r>
              <w:rPr>
                <w:rFonts w:hint="eastAsia" w:ascii="宋体" w:hAnsi="宋体" w:cs="Times New Roman"/>
                <w:szCs w:val="21"/>
              </w:rPr>
              <w:t>条款“法律法规一览表中的节约能源法已过期”。</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b/>
                <w:szCs w:val="21"/>
              </w:rPr>
            </w:pPr>
            <w:r>
              <w:rPr>
                <w:rFonts w:hint="eastAsia" w:ascii="宋体" w:hAnsi="宋体" w:cs="宋体"/>
                <w:szCs w:val="21"/>
              </w:rPr>
              <w:t>管理评审频次为一年一次、本次管理评审于</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hint="eastAsia" w:ascii="宋体" w:hAnsi="宋体"/>
                <w:b/>
                <w:szCs w:val="21"/>
              </w:rPr>
              <w:t>5.</w:t>
            </w:r>
            <w:r>
              <w:rPr>
                <w:rFonts w:ascii="宋体" w:hAnsi="宋体"/>
                <w:b/>
                <w:szCs w:val="21"/>
              </w:rPr>
              <w:t xml:space="preserve"> EMS</w:t>
            </w:r>
            <w:r>
              <w:rPr>
                <w:rFonts w:hint="eastAsia" w:ascii="宋体" w:hAnsi="宋体"/>
                <w:b/>
                <w:szCs w:val="21"/>
              </w:rPr>
              <w:t>是否按规定对主要污染物（污水、废气、噪声、废渣等）及排放实施了例行的监视或测量，结果是否满足相关要求？</w:t>
            </w:r>
          </w:p>
          <w:p>
            <w:pPr>
              <w:spacing w:line="240" w:lineRule="exact"/>
              <w:rPr>
                <w:rFonts w:hint="eastAsia" w:ascii="宋体" w:hAnsi="宋体" w:eastAsia="宋体"/>
                <w:b/>
                <w:szCs w:val="21"/>
                <w:lang w:eastAsia="zh-CN"/>
              </w:rPr>
            </w:pPr>
            <w:r>
              <w:rPr>
                <w:rFonts w:hint="eastAsia" w:ascii="宋体" w:hAnsi="宋体"/>
                <w:b/>
                <w:szCs w:val="21"/>
              </w:rPr>
              <w:t xml:space="preserve">  不适</w:t>
            </w:r>
            <w:r>
              <w:rPr>
                <w:rFonts w:hint="eastAsia" w:ascii="宋体" w:hAnsi="宋体"/>
                <w:b/>
                <w:szCs w:val="21"/>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Cs w:val="21"/>
              </w:rPr>
            </w:pPr>
            <w:r>
              <w:rPr>
                <w:rFonts w:ascii="宋体" w:hAnsi="宋体"/>
                <w:b/>
                <w:szCs w:val="21"/>
              </w:rPr>
              <w:t>6.  EMS</w:t>
            </w:r>
            <w:r>
              <w:rPr>
                <w:rFonts w:hint="eastAsia" w:ascii="宋体" w:hAnsi="宋体"/>
                <w:b/>
                <w:szCs w:val="21"/>
              </w:rPr>
              <w:t>国家</w:t>
            </w:r>
            <w:r>
              <w:rPr>
                <w:rFonts w:ascii="宋体" w:hAnsi="宋体"/>
                <w:b/>
                <w:szCs w:val="21"/>
              </w:rPr>
              <w:t>/</w:t>
            </w:r>
            <w:r>
              <w:rPr>
                <w:rFonts w:hint="eastAsia" w:ascii="宋体" w:hAnsi="宋体"/>
                <w:b/>
                <w:szCs w:val="21"/>
              </w:rPr>
              <w:t>地方环保部门监测结果、新改扩建项目符合环评报告、三同时验收报告要求情况及措施</w:t>
            </w:r>
            <w:r>
              <w:rPr>
                <w:rFonts w:ascii="宋体" w:hAnsi="宋体"/>
                <w:b/>
                <w:szCs w:val="21"/>
              </w:rPr>
              <w:t>(98</w:t>
            </w:r>
            <w:r>
              <w:rPr>
                <w:rFonts w:hint="eastAsia" w:ascii="宋体" w:hAnsi="宋体"/>
                <w:b/>
                <w:szCs w:val="21"/>
              </w:rPr>
              <w:t>年后</w:t>
            </w:r>
            <w:r>
              <w:rPr>
                <w:rFonts w:ascii="宋体" w:hAnsi="宋体"/>
                <w:b/>
                <w:szCs w:val="21"/>
              </w:rPr>
              <w:t xml:space="preserve">) </w:t>
            </w:r>
          </w:p>
          <w:p>
            <w:pPr>
              <w:spacing w:line="240" w:lineRule="exact"/>
              <w:ind w:firstLine="211" w:firstLineChars="100"/>
              <w:rPr>
                <w:rFonts w:ascii="宋体" w:hAnsi="宋体"/>
                <w:b/>
                <w:szCs w:val="21"/>
              </w:rPr>
            </w:pPr>
            <w:r>
              <w:rPr>
                <w:rFonts w:hint="eastAsia" w:ascii="宋体" w:hAnsi="宋体"/>
                <w:b/>
                <w:szCs w:val="21"/>
              </w:rPr>
              <w:t>不适</w:t>
            </w:r>
            <w:r>
              <w:rPr>
                <w:rFonts w:hint="eastAsia" w:ascii="宋体" w:hAnsi="宋体"/>
                <w:b/>
                <w:szCs w:val="21"/>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Cs w:val="21"/>
              </w:rPr>
            </w:pPr>
            <w:r>
              <w:rPr>
                <w:rFonts w:ascii="宋体" w:hAnsi="宋体"/>
                <w:b/>
                <w:szCs w:val="21"/>
              </w:rPr>
              <w:t>7. OHSMS</w:t>
            </w:r>
            <w:r>
              <w:rPr>
                <w:rFonts w:hint="eastAsia" w:ascii="宋体" w:hAnsi="宋体"/>
                <w:b/>
                <w:szCs w:val="21"/>
              </w:rPr>
              <w:t>是否按规定对职业健康安全项目进行定期测量，结果是否满足相关要求：</w:t>
            </w:r>
          </w:p>
          <w:p>
            <w:pPr>
              <w:spacing w:line="240" w:lineRule="exact"/>
              <w:ind w:firstLine="211" w:firstLineChars="100"/>
              <w:rPr>
                <w:rFonts w:ascii="宋体" w:hAnsi="宋体"/>
                <w:b/>
                <w:szCs w:val="21"/>
              </w:rPr>
            </w:pPr>
            <w:r>
              <w:rPr>
                <w:rFonts w:hint="eastAsia" w:ascii="宋体" w:hAnsi="宋体"/>
                <w:b/>
                <w:szCs w:val="21"/>
              </w:rPr>
              <w:t>不适</w:t>
            </w:r>
            <w:r>
              <w:rPr>
                <w:rFonts w:hint="eastAsia" w:ascii="宋体" w:hAnsi="宋体"/>
                <w:b/>
                <w:szCs w:val="21"/>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8.OHSMS</w:t>
            </w:r>
            <w:r>
              <w:rPr>
                <w:rFonts w:hint="eastAsia" w:ascii="宋体" w:hAnsi="宋体"/>
                <w:b/>
                <w:szCs w:val="21"/>
              </w:rPr>
              <w:t>国家</w:t>
            </w:r>
            <w:r>
              <w:rPr>
                <w:rFonts w:ascii="宋体" w:hAnsi="宋体"/>
                <w:b/>
                <w:szCs w:val="21"/>
              </w:rPr>
              <w:t>/</w:t>
            </w:r>
            <w:r>
              <w:rPr>
                <w:rFonts w:hint="eastAsia" w:ascii="宋体" w:hAnsi="宋体"/>
                <w:b/>
                <w:szCs w:val="21"/>
              </w:rPr>
              <w:t>地方职业健康安全部门监督检查情况及措施</w:t>
            </w:r>
          </w:p>
          <w:p>
            <w:pPr>
              <w:spacing w:line="240" w:lineRule="exact"/>
              <w:rPr>
                <w:rFonts w:ascii="宋体" w:hAnsi="宋体"/>
                <w:b/>
                <w:szCs w:val="21"/>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Cs w:val="21"/>
              </w:rPr>
            </w:pPr>
            <w:r>
              <w:rPr>
                <w:rFonts w:ascii="宋体" w:hAnsi="宋体"/>
                <w:b/>
                <w:szCs w:val="21"/>
              </w:rPr>
              <w:t xml:space="preserve">9. </w:t>
            </w:r>
            <w:r>
              <w:rPr>
                <w:rFonts w:hint="eastAsia" w:ascii="宋体" w:hAnsi="宋体"/>
                <w:b/>
                <w:szCs w:val="21"/>
              </w:rPr>
              <w:t>其他能够标明组织绩效、信誉的证据</w:t>
            </w:r>
            <w:r>
              <w:rPr>
                <w:rFonts w:ascii="宋体" w:hAnsi="宋体"/>
                <w:b/>
                <w:szCs w:val="21"/>
              </w:rPr>
              <w:t>/</w:t>
            </w:r>
            <w:r>
              <w:rPr>
                <w:rFonts w:hint="eastAsia" w:ascii="宋体" w:hAnsi="宋体"/>
                <w:b/>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b/>
                <w:sz w:val="20"/>
                <w:highlight w:val="none"/>
              </w:rPr>
            </w:pPr>
            <w:r>
              <w:rPr>
                <w:rFonts w:hint="eastAsia"/>
                <w:b/>
                <w:color w:val="000000" w:themeColor="text1"/>
                <w:sz w:val="20"/>
                <w:highlight w:val="none"/>
              </w:rPr>
              <w:t>(5)持续改进</w:t>
            </w:r>
          </w:p>
        </w:tc>
        <w:tc>
          <w:tcPr>
            <w:tcW w:w="9198" w:type="dxa"/>
          </w:tcPr>
          <w:p>
            <w:pPr>
              <w:spacing w:line="240" w:lineRule="exact"/>
              <w:rPr>
                <w:rFonts w:ascii="宋体" w:hAnsi="宋体"/>
                <w:b/>
                <w:szCs w:val="21"/>
                <w:highlight w:val="none"/>
              </w:rPr>
            </w:pPr>
            <w:r>
              <w:rPr>
                <w:rFonts w:ascii="宋体" w:hAnsi="宋体"/>
                <w:b/>
                <w:szCs w:val="21"/>
                <w:highlight w:val="none"/>
              </w:rPr>
              <w:t xml:space="preserve">1 </w:t>
            </w:r>
            <w:r>
              <w:rPr>
                <w:rFonts w:hint="eastAsia" w:ascii="宋体" w:hAnsi="宋体"/>
                <w:b/>
                <w:szCs w:val="21"/>
                <w:highlight w:val="none"/>
              </w:rPr>
              <w:t>纠正措施的实施及效果</w:t>
            </w:r>
            <w:r>
              <w:rPr>
                <w:rFonts w:ascii="宋体" w:hAnsi="宋体"/>
                <w:b/>
                <w:szCs w:val="21"/>
                <w:highlight w:val="none"/>
              </w:rPr>
              <w:t>;</w:t>
            </w:r>
          </w:p>
          <w:p>
            <w:pPr>
              <w:spacing w:line="400" w:lineRule="exact"/>
              <w:ind w:firstLine="420" w:firstLineChars="200"/>
              <w:rPr>
                <w:rFonts w:ascii="宋体" w:hAnsi="宋体"/>
                <w:b/>
                <w:szCs w:val="21"/>
                <w:highlight w:val="none"/>
              </w:rPr>
            </w:pPr>
            <w:r>
              <w:rPr>
                <w:rFonts w:hint="eastAsia" w:ascii="宋体" w:hAnsi="宋体" w:cs="宋体"/>
                <w:color w:val="000000" w:themeColor="text1"/>
                <w:szCs w:val="21"/>
                <w:highlight w:val="none"/>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highlight w:val="none"/>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0"/>
                <w:highlight w:val="none"/>
              </w:rPr>
            </w:pPr>
          </w:p>
        </w:tc>
        <w:tc>
          <w:tcPr>
            <w:tcW w:w="9198" w:type="dxa"/>
          </w:tcPr>
          <w:p>
            <w:pPr>
              <w:spacing w:line="240" w:lineRule="exact"/>
              <w:rPr>
                <w:b/>
                <w:color w:val="000000" w:themeColor="text1"/>
                <w:spacing w:val="-20"/>
                <w:sz w:val="20"/>
                <w:szCs w:val="20"/>
                <w:highlight w:val="none"/>
              </w:rPr>
            </w:pPr>
            <w:r>
              <w:rPr>
                <w:rFonts w:hint="eastAsia"/>
                <w:b/>
                <w:color w:val="000000" w:themeColor="text1"/>
                <w:spacing w:val="-20"/>
                <w:sz w:val="20"/>
                <w:szCs w:val="20"/>
                <w:highlight w:val="none"/>
              </w:rPr>
              <w:t>2（近一年）重大事故、顾客/相关方投诉：：</w:t>
            </w:r>
          </w:p>
          <w:p>
            <w:pPr>
              <w:spacing w:line="240" w:lineRule="exact"/>
              <w:rPr>
                <w:rFonts w:ascii="宋体" w:hAnsi="宋体"/>
                <w:b/>
                <w:szCs w:val="21"/>
                <w:highlight w:val="none"/>
              </w:rPr>
            </w:pPr>
            <w:r>
              <w:rPr>
                <w:rFonts w:hint="eastAsia"/>
                <w:b/>
                <w:color w:val="000000" w:themeColor="text1"/>
                <w:spacing w:val="-20"/>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0" w:type="dxa"/>
            <w:vMerge w:val="continue"/>
            <w:vAlign w:val="center"/>
          </w:tcPr>
          <w:p>
            <w:pPr>
              <w:spacing w:line="240" w:lineRule="exact"/>
              <w:jc w:val="center"/>
              <w:rPr>
                <w:b/>
                <w:sz w:val="20"/>
                <w:highlight w:val="none"/>
              </w:rPr>
            </w:pPr>
          </w:p>
        </w:tc>
        <w:tc>
          <w:tcPr>
            <w:tcW w:w="9198" w:type="dxa"/>
          </w:tcPr>
          <w:p>
            <w:pPr>
              <w:spacing w:line="240" w:lineRule="exact"/>
              <w:rPr>
                <w:b/>
                <w:sz w:val="20"/>
                <w:szCs w:val="20"/>
                <w:highlight w:val="none"/>
              </w:rPr>
            </w:pPr>
            <w:r>
              <w:rPr>
                <w:rFonts w:hint="eastAsia"/>
                <w:b/>
                <w:sz w:val="20"/>
                <w:szCs w:val="20"/>
                <w:highlight w:val="none"/>
              </w:rPr>
              <w:t>3. 一阶段提出问题的整改情况?</w:t>
            </w:r>
          </w:p>
          <w:p>
            <w:pPr>
              <w:spacing w:line="240" w:lineRule="exact"/>
              <w:ind w:left="-105" w:leftChars="-50" w:firstLine="506" w:firstLineChars="252"/>
              <w:rPr>
                <w:rFonts w:ascii="宋体" w:hAnsi="宋体"/>
                <w:b/>
                <w:szCs w:val="21"/>
                <w:highlight w:val="none"/>
              </w:rPr>
            </w:pPr>
            <w:r>
              <w:rPr>
                <w:rFonts w:hint="eastAsia"/>
                <w:b/>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0" w:type="dxa"/>
            <w:vMerge w:val="continue"/>
            <w:vAlign w:val="center"/>
          </w:tcPr>
          <w:p>
            <w:pPr>
              <w:spacing w:line="240" w:lineRule="exact"/>
              <w:jc w:val="center"/>
              <w:rPr>
                <w:b/>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4.创新情况</w:t>
            </w:r>
          </w:p>
          <w:p>
            <w:pPr>
              <w:spacing w:line="240" w:lineRule="exact"/>
              <w:ind w:left="-105" w:leftChars="-50" w:firstLine="402" w:firstLineChars="200"/>
              <w:rPr>
                <w:rFonts w:ascii="宋体" w:hAnsi="宋体"/>
                <w:b/>
                <w:szCs w:val="21"/>
                <w:highlight w:val="none"/>
              </w:rPr>
            </w:pPr>
            <w:r>
              <w:rPr>
                <w:rFonts w:hint="eastAsia"/>
                <w:b/>
                <w:color w:val="000000" w:themeColor="text1"/>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0"/>
                <w:highlight w:val="none"/>
              </w:rPr>
            </w:pPr>
          </w:p>
        </w:tc>
        <w:tc>
          <w:tcPr>
            <w:tcW w:w="9198" w:type="dxa"/>
          </w:tcPr>
          <w:p>
            <w:pPr>
              <w:spacing w:line="240" w:lineRule="exact"/>
              <w:rPr>
                <w:b/>
                <w:color w:val="000000" w:themeColor="text1"/>
                <w:szCs w:val="21"/>
                <w:highlight w:val="none"/>
              </w:rPr>
            </w:pPr>
            <w:r>
              <w:rPr>
                <w:rFonts w:hint="eastAsia"/>
                <w:b/>
                <w:color w:val="000000" w:themeColor="text1"/>
                <w:szCs w:val="21"/>
                <w:highlight w:val="none"/>
              </w:rPr>
              <w:t>5. 上次不符合的整改情况（再认证填写）</w:t>
            </w:r>
          </w:p>
          <w:p>
            <w:pPr>
              <w:spacing w:line="240" w:lineRule="exact"/>
              <w:ind w:left="-105" w:leftChars="-50" w:firstLine="422" w:firstLineChars="200"/>
              <w:rPr>
                <w:b/>
                <w:color w:val="000000" w:themeColor="text1"/>
                <w:szCs w:val="21"/>
                <w:highlight w:val="none"/>
              </w:rPr>
            </w:pPr>
            <w:r>
              <w:rPr>
                <w:rFonts w:hint="eastAsia"/>
                <w:b/>
                <w:color w:val="000000" w:themeColor="text1"/>
                <w:szCs w:val="21"/>
                <w:highlight w:val="none"/>
              </w:rPr>
              <w:t>/</w:t>
            </w:r>
          </w:p>
        </w:tc>
      </w:tr>
    </w:tbl>
    <w:p>
      <w:pPr>
        <w:spacing w:before="312" w:beforeLines="100" w:line="320" w:lineRule="exact"/>
        <w:ind w:left="-1" w:leftChars="-337" w:hanging="707" w:hangingChars="271"/>
        <w:rPr>
          <w:b/>
          <w:color w:val="000000" w:themeColor="text1"/>
          <w:sz w:val="26"/>
          <w:szCs w:val="26"/>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0</w:t>
      </w:r>
      <w:r>
        <w:rPr>
          <w:rFonts w:hint="eastAsia"/>
          <w:b/>
          <w:color w:val="000000" w:themeColor="text1"/>
          <w:highlight w:val="none"/>
        </w:rPr>
        <w:t>项分布在</w:t>
      </w:r>
      <w:r>
        <w:rPr>
          <w:rFonts w:hint="eastAsia" w:ascii="方正仿宋简体" w:eastAsia="方正仿宋简体"/>
          <w:b/>
          <w:highlight w:val="none"/>
          <w:lang w:eastAsia="zh-CN"/>
        </w:rPr>
        <w:t>运营部</w:t>
      </w:r>
      <w:r>
        <w:rPr>
          <w:rFonts w:hint="eastAsia"/>
          <w:b/>
          <w:color w:val="000000" w:themeColor="text1"/>
          <w:highlight w:val="none"/>
        </w:rPr>
        <w:t>部门</w:t>
      </w:r>
      <w:r>
        <w:rPr>
          <w:rFonts w:hint="eastAsia"/>
          <w:b/>
          <w:color w:val="000000" w:themeColor="text1"/>
          <w:highlight w:val="none"/>
          <w:lang w:val="en-US" w:eastAsia="zh-CN"/>
        </w:rPr>
        <w:t>Q8.5.1</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highlight w:val="none"/>
        </w:rPr>
        <w:t>2. 本次审核发现不符合及存在问题对管理体系实现目标</w:t>
      </w:r>
      <w:r>
        <w:rPr>
          <w:rFonts w:hint="eastAsia"/>
          <w:b/>
          <w:bCs/>
          <w:color w:val="000000" w:themeColor="text1"/>
          <w:szCs w:val="28"/>
        </w:rPr>
        <w:t>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sym w:font="Wingdings 2" w:char="0052"/>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ascii="宋体" w:hAnsi="宋体"/>
                <w:b/>
                <w:color w:val="000000" w:themeColor="text1"/>
                <w:u w:val="single"/>
              </w:rPr>
            </w:pPr>
            <w:r>
              <w:rPr>
                <w:rFonts w:ascii="宋体" w:hAnsi="宋体"/>
                <w:b/>
                <w:color w:val="000000" w:themeColor="text1"/>
                <w:u w:val="single"/>
              </w:rPr>
              <w:t>QMS:</w:t>
            </w:r>
            <w:r>
              <w:rPr>
                <w:sz w:val="20"/>
                <w:u w:val="single"/>
              </w:rPr>
              <w:t>许可范围内的预包装食品（含冷藏冷冻食品）、散装食品（含冷藏冷冻食品、不含直接入口食品）、蔬菜、水果、鲜肉、水产品的销售</w:t>
            </w:r>
          </w:p>
          <w:p>
            <w:pPr>
              <w:spacing w:line="320" w:lineRule="exact"/>
              <w:rPr>
                <w:rFonts w:ascii="宋体" w:hAnsi="宋体"/>
                <w:b/>
                <w:color w:val="000000" w:themeColor="text1"/>
                <w:u w:val="single"/>
                <w:lang w:val="en-GB"/>
              </w:rPr>
            </w:pPr>
            <w:r>
              <w:rPr>
                <w:rFonts w:hint="eastAsia" w:ascii="宋体" w:hAnsi="宋体"/>
                <w:b/>
                <w:color w:val="000000" w:themeColor="text1"/>
                <w:u w:val="single"/>
              </w:rPr>
              <w:t>EMS</w:t>
            </w:r>
            <w:r>
              <w:rPr>
                <w:rFonts w:hint="eastAsia" w:ascii="宋体" w:hAnsi="宋体"/>
                <w:b/>
                <w:color w:val="000000" w:themeColor="text1"/>
                <w:u w:val="single"/>
                <w:lang w:val="en-GB"/>
              </w:rPr>
              <w:t>:</w:t>
            </w:r>
            <w:r>
              <w:rPr>
                <w:sz w:val="20"/>
                <w:u w:val="single"/>
              </w:rPr>
              <w:t>许可范围内的预包装食品（含冷藏冷冻食品）、散装食品（含冷藏冷冻食品、不含直接入口食品）、蔬菜、水果、鲜肉、水产品的销售所涉及场所的相关环境管理活动</w:t>
            </w:r>
          </w:p>
          <w:p>
            <w:pPr>
              <w:spacing w:line="320" w:lineRule="exact"/>
              <w:rPr>
                <w:rFonts w:ascii="宋体" w:hAnsi="宋体"/>
                <w:b/>
                <w:color w:val="000000" w:themeColor="text1"/>
                <w:u w:val="single"/>
                <w:lang w:val="en-GB"/>
              </w:rPr>
            </w:pPr>
            <w:r>
              <w:rPr>
                <w:rFonts w:hint="eastAsia" w:ascii="宋体" w:hAnsi="宋体"/>
                <w:b/>
                <w:color w:val="000000" w:themeColor="text1"/>
                <w:u w:val="single"/>
              </w:rPr>
              <w:t>OHSMS</w:t>
            </w:r>
            <w:r>
              <w:rPr>
                <w:rFonts w:hint="eastAsia" w:ascii="宋体" w:hAnsi="宋体"/>
                <w:b/>
                <w:color w:val="000000" w:themeColor="text1"/>
                <w:u w:val="single"/>
                <w:lang w:val="en-GB"/>
              </w:rPr>
              <w:t>:</w:t>
            </w:r>
            <w:r>
              <w:rPr>
                <w:sz w:val="20"/>
                <w:u w:val="single"/>
              </w:rPr>
              <w:t>许可范围内的预包装食品（含冷藏冷冻食品）、散装食品（含冷藏冷冻食品、不含直接入口食品）、蔬菜、水果、鲜肉、水产品的销售所涉及场所的相关职业健康安全管理活动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 xml:space="preserve">  30 </w:t>
      </w:r>
      <w:r>
        <w:rPr>
          <w:rFonts w:hint="eastAsia"/>
          <w:b/>
          <w:color w:val="000000" w:themeColor="text1"/>
          <w:lang w:val="en-US" w:eastAsia="zh-CN"/>
        </w:rPr>
        <w:t xml:space="preserve"> </w:t>
      </w:r>
      <w:r>
        <w:rPr>
          <w:rFonts w:hint="eastAsia"/>
          <w:b/>
          <w:color w:val="000000" w:themeColor="text1"/>
        </w:rPr>
        <w:t>天/严重不符合在</w:t>
      </w:r>
      <w:r>
        <w:rPr>
          <w:rFonts w:hint="eastAsia"/>
          <w:b/>
          <w:color w:val="000000" w:themeColor="text1"/>
          <w:u w:val="single"/>
          <w:lang w:val="en-US" w:eastAsia="zh-CN"/>
        </w:rPr>
        <w:t xml:space="preserve">  60  </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hint="eastAsia" w:ascii="宋体" w:hAnsi="宋体" w:eastAsia="宋体" w:cs="Times New Roman"/>
          <w:kern w:val="2"/>
          <w:sz w:val="21"/>
          <w:szCs w:val="22"/>
          <w:lang w:val="en-US" w:eastAsia="zh-CN" w:bidi="ar-SA"/>
        </w:rPr>
        <w:drawing>
          <wp:anchor distT="0" distB="0" distL="114300" distR="114300" simplePos="0" relativeHeight="251708416" behindDoc="0" locked="0" layoutInCell="1" allowOverlap="1">
            <wp:simplePos x="0" y="0"/>
            <wp:positionH relativeFrom="column">
              <wp:posOffset>1159510</wp:posOffset>
            </wp:positionH>
            <wp:positionV relativeFrom="paragraph">
              <wp:posOffset>374015</wp:posOffset>
            </wp:positionV>
            <wp:extent cx="405130" cy="375285"/>
            <wp:effectExtent l="0" t="0" r="1270" b="5715"/>
            <wp:wrapNone/>
            <wp:docPr id="4" name="图片 5"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45e69cce4380e02713697e955d1ffd9"/>
                    <pic:cNvPicPr>
                      <a:picLocks noChangeAspect="1"/>
                    </pic:cNvPicPr>
                  </pic:nvPicPr>
                  <pic:blipFill>
                    <a:blip r:embed="rId6"/>
                    <a:stretch>
                      <a:fillRect/>
                    </a:stretch>
                  </pic:blipFill>
                  <pic:spPr>
                    <a:xfrm>
                      <a:off x="0" y="0"/>
                      <a:ext cx="405130" cy="37528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600" w:firstLineChars="250"/>
        <w:rPr>
          <w:b/>
          <w:color w:val="000000" w:themeColor="text1"/>
        </w:rPr>
      </w:pPr>
      <w:r>
        <w:rPr>
          <w:sz w:val="24"/>
        </w:rPr>
        <w:drawing>
          <wp:anchor distT="0" distB="0" distL="114300" distR="114300" simplePos="0" relativeHeight="251712512" behindDoc="0" locked="0" layoutInCell="1" allowOverlap="1">
            <wp:simplePos x="0" y="0"/>
            <wp:positionH relativeFrom="column">
              <wp:posOffset>1537335</wp:posOffset>
            </wp:positionH>
            <wp:positionV relativeFrom="paragraph">
              <wp:posOffset>49530</wp:posOffset>
            </wp:positionV>
            <wp:extent cx="681355" cy="492760"/>
            <wp:effectExtent l="0" t="0" r="4445" b="2540"/>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7"/>
                    <a:stretch>
                      <a:fillRect/>
                    </a:stretch>
                  </pic:blipFill>
                  <pic:spPr>
                    <a:xfrm>
                      <a:off x="0" y="0"/>
                      <a:ext cx="681355" cy="49276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w:t>
      </w:r>
      <w:r>
        <w:rPr>
          <w:rFonts w:hint="eastAsia"/>
          <w:b/>
          <w:sz w:val="20"/>
        </w:rPr>
        <w:t>2021年07月10日</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rPr>
        <w:t>十五、纠正措施验证结</w:t>
      </w:r>
      <w:r>
        <w:rPr>
          <w:rFonts w:hint="eastAsia"/>
          <w:b/>
          <w:color w:val="000000" w:themeColor="text1"/>
          <w:sz w:val="26"/>
          <w:szCs w:val="26"/>
          <w:highlight w:val="none"/>
        </w:rPr>
        <w:t>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rPr>
        <w:sym w:font="Wingdings 2" w:char="0052"/>
      </w:r>
      <w:r>
        <w:rPr>
          <w:rFonts w:hint="eastAsia"/>
          <w:b/>
          <w:color w:val="000000" w:themeColor="text1"/>
          <w:szCs w:val="21"/>
          <w:highlight w:val="none"/>
        </w:rPr>
        <w:t xml:space="preserve">QMS(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rPr>
        <w:sym w:font="Wingdings 2" w:char="0052"/>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ascii="宋体" w:hAnsi="宋体" w:eastAsia="宋体" w:cs="Times New Roman"/>
          <w:kern w:val="2"/>
          <w:sz w:val="21"/>
          <w:szCs w:val="22"/>
          <w:lang w:val="en-US" w:eastAsia="zh-CN" w:bidi="ar-SA"/>
        </w:rPr>
        <w:drawing>
          <wp:anchor distT="0" distB="0" distL="114300" distR="114300" simplePos="0" relativeHeight="251763712" behindDoc="0" locked="0" layoutInCell="1" allowOverlap="1">
            <wp:simplePos x="0" y="0"/>
            <wp:positionH relativeFrom="column">
              <wp:posOffset>760730</wp:posOffset>
            </wp:positionH>
            <wp:positionV relativeFrom="paragraph">
              <wp:posOffset>104140</wp:posOffset>
            </wp:positionV>
            <wp:extent cx="405130" cy="375285"/>
            <wp:effectExtent l="0" t="0" r="1270" b="5715"/>
            <wp:wrapNone/>
            <wp:docPr id="5" name="图片 5"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5e69cce4380e02713697e955d1ffd9"/>
                    <pic:cNvPicPr>
                      <a:picLocks noChangeAspect="1"/>
                    </pic:cNvPicPr>
                  </pic:nvPicPr>
                  <pic:blipFill>
                    <a:blip r:embed="rId6"/>
                    <a:stretch>
                      <a:fillRect/>
                    </a:stretch>
                  </pic:blipFill>
                  <pic:spPr>
                    <a:xfrm>
                      <a:off x="0" y="0"/>
                      <a:ext cx="405130" cy="375285"/>
                    </a:xfrm>
                    <a:prstGeom prst="rect">
                      <a:avLst/>
                    </a:prstGeom>
                    <a:noFill/>
                    <a:ln>
                      <a:noFill/>
                    </a:ln>
                  </pic:spPr>
                </pic:pic>
              </a:graphicData>
            </a:graphic>
          </wp:anchor>
        </w:drawing>
      </w:r>
      <w:r>
        <w:rPr>
          <w:rFonts w:hint="eastAsia"/>
          <w:b/>
          <w:color w:val="000000" w:themeColor="text1"/>
          <w:szCs w:val="21"/>
        </w:rPr>
        <w:t xml:space="preserve">组长签字:                 </w:t>
      </w:r>
      <w:bookmarkStart w:id="23" w:name="_GoBack"/>
      <w:r>
        <w:rPr>
          <w:rFonts w:hint="eastAsia"/>
          <w:b/>
          <w:color w:val="000000" w:themeColor="text1"/>
          <w:szCs w:val="21"/>
          <w:highlight w:val="none"/>
        </w:rPr>
        <w:t xml:space="preserve">              日期:    </w:t>
      </w:r>
      <w:r>
        <w:rPr>
          <w:rFonts w:hint="eastAsia"/>
          <w:b/>
          <w:color w:val="000000" w:themeColor="text1"/>
          <w:szCs w:val="21"/>
          <w:highlight w:val="none"/>
          <w:lang w:val="en-US" w:eastAsia="zh-CN"/>
        </w:rPr>
        <w:t>2021</w:t>
      </w:r>
      <w:r>
        <w:rPr>
          <w:rFonts w:hint="eastAsia"/>
          <w:b/>
          <w:color w:val="000000" w:themeColor="text1"/>
          <w:szCs w:val="21"/>
          <w:highlight w:val="none"/>
        </w:rPr>
        <w:t>年</w:t>
      </w:r>
      <w:r>
        <w:rPr>
          <w:rFonts w:hint="eastAsia"/>
          <w:b/>
          <w:color w:val="000000" w:themeColor="text1"/>
          <w:szCs w:val="21"/>
          <w:highlight w:val="none"/>
          <w:lang w:val="en-US" w:eastAsia="zh-CN"/>
        </w:rPr>
        <w:t xml:space="preserve"> 7</w:t>
      </w:r>
      <w:r>
        <w:rPr>
          <w:rFonts w:hint="eastAsia"/>
          <w:b/>
          <w:color w:val="000000" w:themeColor="text1"/>
          <w:szCs w:val="21"/>
          <w:highlight w:val="none"/>
        </w:rPr>
        <w:t>月</w:t>
      </w:r>
      <w:r>
        <w:rPr>
          <w:rFonts w:hint="eastAsia"/>
          <w:b/>
          <w:color w:val="000000" w:themeColor="text1"/>
          <w:szCs w:val="21"/>
          <w:highlight w:val="none"/>
          <w:lang w:val="en-US" w:eastAsia="zh-CN"/>
        </w:rPr>
        <w:t>12</w:t>
      </w:r>
      <w:r>
        <w:rPr>
          <w:rFonts w:hint="eastAsia"/>
          <w:b/>
          <w:color w:val="000000" w:themeColor="text1"/>
          <w:szCs w:val="21"/>
          <w:highlight w:val="none"/>
        </w:rPr>
        <w:t>日</w:t>
      </w:r>
      <w:bookmarkEnd w:id="23"/>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2"/>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7BDFAB"/>
    <w:multiLevelType w:val="singleLevel"/>
    <w:tmpl w:val="DA7BDFAB"/>
    <w:lvl w:ilvl="0" w:tentative="0">
      <w:start w:val="2"/>
      <w:numFmt w:val="decimal"/>
      <w:suff w:val="nothing"/>
      <w:lvlText w:val="%1、"/>
      <w:lvlJc w:val="left"/>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2680083D"/>
    <w:multiLevelType w:val="singleLevel"/>
    <w:tmpl w:val="2680083D"/>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E660CA"/>
    <w:rsid w:val="18835C26"/>
    <w:rsid w:val="22325720"/>
    <w:rsid w:val="27604440"/>
    <w:rsid w:val="381517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Normal Indent"/>
    <w:basedOn w:val="1"/>
    <w:qFormat/>
    <w:uiPriority w:val="0"/>
    <w:pPr>
      <w:ind w:firstLine="420"/>
    </w:pPr>
    <w:rPr>
      <w:szCs w:val="20"/>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2021-07-10T10:24:51Z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