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7"/>
        <w:gridCol w:w="464"/>
        <w:gridCol w:w="329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河北朝源灌排设备科技有限公司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河北省石家庄市裕华区联邦东方明珠7-2-2305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孙广丽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0311-67795900</w:t>
            </w:r>
            <w:bookmarkEnd w:id="3"/>
          </w:p>
        </w:tc>
        <w:tc>
          <w:tcPr>
            <w:tcW w:w="69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任光磊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9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1183672910@qq.com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0700-2021-E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PVC、PP、PE管材、滴灌管、滴灌带、金属管件、灌排设备（喷灌机、砂石过滤器）的销售所涉及场所的相关环境管理活动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2021年07月22日 上午至2021年07月23日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743" w:type="dxa"/>
            <w:gridSpan w:val="8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743" w:type="dxa"/>
            <w:gridSpan w:val="8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2021.7.18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2021.7.22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2021.7.23</w:t>
            </w:r>
            <w:bookmarkStart w:id="17" w:name="_GoBack"/>
            <w:bookmarkEnd w:id="17"/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927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2021-07-22T02:43:02Z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E004BE074CC1401E8723DE87B18DD0D4</vt:lpwstr>
  </property>
</Properties>
</file>