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67"/>
        <w:gridCol w:w="700"/>
        <w:gridCol w:w="551"/>
        <w:gridCol w:w="239"/>
        <w:gridCol w:w="160"/>
        <w:gridCol w:w="190"/>
        <w:gridCol w:w="670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杭州星帅尔电器股份有限公司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杭州市富阳区受降镇祝家村交界岭99号（2、3、4、5幢）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陈晓强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13957177911</w:t>
            </w:r>
            <w:bookmarkEnd w:id="3"/>
          </w:p>
        </w:tc>
        <w:tc>
          <w:tcPr>
            <w:tcW w:w="7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311422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0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zq@hzstarshuaier.com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0671-2021-EnMs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>n</w:t>
            </w:r>
            <w:r>
              <w:rPr>
                <w:spacing w:val="-2"/>
                <w:sz w:val="20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能源管理体系：初次认证第（二）阶段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2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热保护器、PTC起动器、起动继电器设计和生产所涉及的能源管理活动</w:t>
            </w:r>
            <w:bookmarkEnd w:id="13"/>
          </w:p>
        </w:tc>
        <w:tc>
          <w:tcPr>
            <w:tcW w:w="67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340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2.7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 w:ascii="宋体" w:hAnsi="宋体" w:eastAsia="宋体" w:cs="Lucida Sans"/>
                <w:lang w:val="en-US" w:eastAsia="zh-CN"/>
              </w:rPr>
              <w:t>GB/T23331-2020、</w:t>
            </w:r>
            <w:r>
              <w:rPr>
                <w:rFonts w:hint="eastAsia" w:ascii="宋体" w:hAnsi="宋体" w:eastAsia="宋体" w:cs="Lucida Sans"/>
              </w:rPr>
              <w:t>IS05000</w:t>
            </w:r>
            <w:bookmarkStart w:id="17" w:name="_GoBack"/>
            <w:bookmarkEnd w:id="17"/>
            <w:r>
              <w:rPr>
                <w:rFonts w:hint="eastAsia" w:ascii="宋体" w:hAnsi="宋体" w:eastAsia="宋体" w:cs="Lucida Sans"/>
              </w:rPr>
              <w:t>1:2018</w:t>
            </w:r>
            <w:bookmarkEnd w:id="15"/>
            <w:r>
              <w:rPr>
                <w:rFonts w:hint="eastAsia" w:ascii="宋体" w:hAnsi="宋体" w:eastAsia="宋体" w:cs="Lucida Sans"/>
                <w:lang w:val="en-US" w:eastAsia="zh-CN"/>
              </w:rPr>
              <w:t xml:space="preserve">  RB/T119-2015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 上午至2021年07月1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>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ISC-72033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李丽英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13903215511</w:t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ISC-21820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周  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ind w:firstLine="600" w:firstLineChars="30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firstLine="200" w:firstLineChars="1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firstLine="400" w:firstLineChars="2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2021.7.14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ind w:firstLine="400" w:firstLineChars="20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2021.7.14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pStyle w:val="2"/>
        <w:rPr>
          <w:rFonts w:hint="eastAsia"/>
        </w:rPr>
      </w:pPr>
    </w:p>
    <w:tbl>
      <w:tblPr>
        <w:tblStyle w:val="7"/>
        <w:tblpPr w:leftFromText="180" w:rightFromText="180" w:vertAnchor="text" w:horzAnchor="page" w:tblpX="862" w:tblpY="388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381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381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2021年7月15日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u w:val="none"/>
              </w:rPr>
              <w:t>7.2 能力、7.3 意识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、8.1 运行的策划和控制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9.1.2 法律法规要求和其他要求的合规性评价、9.2 内部审核、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  <w:p>
            <w:pPr>
              <w:spacing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8.2设计、10.1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2021年7月16日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质管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738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运行的策划和控制、10.1 不符合与纠正措施、10.2 持续改进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（包括车间）</w:t>
            </w:r>
          </w:p>
        </w:tc>
        <w:tc>
          <w:tcPr>
            <w:tcW w:w="738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7.1资源、7.4沟通交流、</w:t>
            </w:r>
            <w:r>
              <w:rPr>
                <w:rFonts w:hint="eastAsia" w:ascii="宋体" w:hAnsi="宋体"/>
                <w:szCs w:val="21"/>
              </w:rPr>
              <w:t>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9.1.1能源绩效和能源管理体系的监视、测量、分析和评价 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22" w:firstLineChars="20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商务部</w:t>
            </w: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生产部（供应科）</w:t>
            </w: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873897"/>
    <w:rsid w:val="6F523B46"/>
    <w:rsid w:val="77545DF8"/>
    <w:rsid w:val="78AA511D"/>
    <w:rsid w:val="797817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2021-07-16T07:16:44Z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ADD05C23356D425D8DE28A056C11D4EF</vt:lpwstr>
  </property>
</Properties>
</file>