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江西慧通科技发展有限责任公司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褚敏杰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E:33.02.01,33.02.04</w:t>
            </w:r>
          </w:p>
          <w:p>
            <w:pPr>
              <w:spacing w:line="240" w:lineRule="exact"/>
              <w:jc w:val="center"/>
              <w:rPr>
                <w:b/>
                <w:color w:val="000000" w:themeColor="text1"/>
                <w:sz w:val="20"/>
                <w:szCs w:val="20"/>
              </w:rPr>
            </w:pPr>
            <w:r>
              <w:rPr>
                <w:b/>
                <w:color w:val="000000" w:themeColor="text1"/>
                <w:sz w:val="20"/>
                <w:szCs w:val="20"/>
              </w:rPr>
              <w:t>O:33.02.01,33.02.04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王景玲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陈浩</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Q:33.02.01,33.02.04</w:t>
            </w:r>
          </w:p>
          <w:p>
            <w:pPr>
              <w:spacing w:line="240" w:lineRule="exact"/>
              <w:jc w:val="center"/>
              <w:rPr>
                <w:b/>
                <w:color w:val="000000" w:themeColor="text1"/>
                <w:sz w:val="20"/>
                <w:szCs w:val="20"/>
              </w:rPr>
            </w:pPr>
            <w:r>
              <w:rPr>
                <w:b/>
                <w:color w:val="000000" w:themeColor="text1"/>
                <w:sz w:val="20"/>
                <w:szCs w:val="20"/>
              </w:rPr>
              <w:t>E:33.02.01,33.02.04</w:t>
            </w:r>
          </w:p>
          <w:p>
            <w:pPr>
              <w:spacing w:line="240" w:lineRule="exact"/>
              <w:jc w:val="center"/>
              <w:rPr>
                <w:b/>
                <w:color w:val="000000" w:themeColor="text1"/>
                <w:sz w:val="20"/>
                <w:szCs w:val="20"/>
              </w:rPr>
            </w:pPr>
            <w:r>
              <w:rPr>
                <w:b/>
                <w:color w:val="000000" w:themeColor="text1"/>
                <w:sz w:val="20"/>
                <w:szCs w:val="20"/>
              </w:rPr>
              <w:t>O:33.02.01,33.02.04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rPr>
          <w:rFonts w:ascii="宋体" w:hAnsi="宋体" w:eastAsia="宋体" w:cs="Times New Roman"/>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w:t>
      </w:r>
    </w:p>
    <w:p>
      <w:pPr>
        <w:jc w:val="left"/>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E：GB/T 24001-2016/ISO14001:2015</w:t>
      </w:r>
    </w:p>
    <w:p>
      <w:pPr>
        <w:jc w:val="left"/>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O：GB/T45001-2020 / ISO45001：2018</w:t>
      </w:r>
      <w:bookmarkEnd w:id="4"/>
    </w:p>
    <w:p>
      <w:pPr>
        <w:jc w:val="left"/>
        <w:rPr>
          <w:rFonts w:hint="eastAsia" w:ascii="宋体" w:hAnsi="宋体"/>
          <w:b/>
          <w:color w:val="000000" w:themeColor="text1"/>
          <w:spacing w:val="-10"/>
          <w:sz w:val="20"/>
          <w:szCs w:val="20"/>
        </w:rPr>
      </w:pPr>
    </w:p>
    <w:p>
      <w:pPr>
        <w:jc w:val="left"/>
        <w:rPr>
          <w:rFonts w:hint="eastAsia" w:ascii="宋体" w:hAnsi="宋体"/>
          <w:b/>
          <w:color w:val="000000" w:themeColor="text1"/>
          <w:spacing w:val="-10"/>
          <w:sz w:val="20"/>
          <w:szCs w:val="20"/>
        </w:rPr>
      </w:pPr>
    </w:p>
    <w:p>
      <w:pPr>
        <w:jc w:val="left"/>
        <w:rPr>
          <w:rFonts w:hint="eastAsia" w:ascii="宋体" w:hAnsi="宋体"/>
          <w:b/>
          <w:color w:val="000000" w:themeColor="text1"/>
          <w:spacing w:val="-10"/>
          <w:sz w:val="20"/>
          <w:szCs w:val="20"/>
        </w:rPr>
      </w:pPr>
    </w:p>
    <w:p>
      <w:pPr>
        <w:pStyle w:val="12"/>
        <w:numPr>
          <w:ilvl w:val="0"/>
          <w:numId w:val="1"/>
        </w:numPr>
        <w:ind w:left="-142" w:hanging="709" w:firstLineChars="0"/>
        <w:rPr>
          <w:rFonts w:hint="eastAsia" w:ascii="宋体" w:hAnsi="宋体" w:eastAsia="宋体" w:cs="Times New Roman"/>
          <w:b/>
          <w:color w:val="000000" w:themeColor="text1"/>
          <w:sz w:val="26"/>
          <w:szCs w:val="26"/>
        </w:rPr>
      </w:pPr>
      <w:r>
        <w:rPr>
          <w:rFonts w:hint="eastAsia" w:ascii="宋体" w:hAnsi="宋体" w:eastAsia="宋体" w:cs="Times New Roman"/>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837"/>
        <w:gridCol w:w="72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江西慧通科技发展有限责任公司</w:t>
            </w:r>
            <w:bookmarkEnd w:id="5"/>
          </w:p>
        </w:tc>
        <w:tc>
          <w:tcPr>
            <w:tcW w:w="1361"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017" w:type="dxa"/>
            <w:gridSpan w:val="2"/>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76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5940" w:type="dxa"/>
            <w:gridSpan w:val="9"/>
          </w:tcPr>
          <w:p>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江西省南昌市红谷滩区庐山南大道369号南昌铜锣湾广场写字楼-1401室</w:t>
            </w:r>
            <w:bookmarkEnd w:id="7"/>
          </w:p>
        </w:tc>
        <w:tc>
          <w:tcPr>
            <w:tcW w:w="72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330069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5940" w:type="dxa"/>
            <w:gridSpan w:val="9"/>
          </w:tcPr>
          <w:p>
            <w:pPr>
              <w:spacing w:line="320" w:lineRule="exact"/>
              <w:jc w:val="left"/>
              <w:rPr>
                <w:rFonts w:ascii="宋体" w:hAnsi="宋体"/>
                <w:b/>
                <w:color w:val="000000" w:themeColor="text1"/>
                <w:sz w:val="20"/>
                <w:szCs w:val="20"/>
              </w:rPr>
            </w:pPr>
            <w:bookmarkStart w:id="9" w:name="办公地址"/>
            <w:r>
              <w:rPr>
                <w:rFonts w:ascii="宋体" w:hAnsi="宋体"/>
                <w:b/>
                <w:color w:val="000000" w:themeColor="text1"/>
                <w:sz w:val="20"/>
                <w:szCs w:val="20"/>
              </w:rPr>
              <w:t>江西省南昌市红谷滩区庐山南大道369号南昌铜锣湾广场写字楼1408室</w:t>
            </w:r>
            <w:bookmarkEnd w:id="9"/>
          </w:p>
        </w:tc>
        <w:tc>
          <w:tcPr>
            <w:tcW w:w="72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330069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5940" w:type="dxa"/>
            <w:gridSpan w:val="9"/>
          </w:tcPr>
          <w:p>
            <w:pPr>
              <w:spacing w:line="320" w:lineRule="exact"/>
              <w:rPr>
                <w:rFonts w:ascii="宋体" w:hAnsi="宋体"/>
                <w:b/>
                <w:color w:val="000000" w:themeColor="text1"/>
                <w:sz w:val="20"/>
                <w:szCs w:val="20"/>
              </w:rPr>
            </w:pPr>
          </w:p>
        </w:tc>
        <w:tc>
          <w:tcPr>
            <w:tcW w:w="72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5940" w:type="dxa"/>
            <w:gridSpan w:val="9"/>
          </w:tcPr>
          <w:p>
            <w:pPr>
              <w:spacing w:line="320" w:lineRule="exact"/>
              <w:rPr>
                <w:rFonts w:ascii="宋体" w:hAnsi="宋体"/>
                <w:b/>
                <w:color w:val="000000" w:themeColor="text1"/>
                <w:sz w:val="20"/>
                <w:szCs w:val="20"/>
              </w:rPr>
            </w:pPr>
          </w:p>
        </w:tc>
        <w:tc>
          <w:tcPr>
            <w:tcW w:w="72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5940" w:type="dxa"/>
            <w:gridSpan w:val="9"/>
          </w:tcPr>
          <w:p>
            <w:pPr>
              <w:spacing w:line="320" w:lineRule="exact"/>
              <w:rPr>
                <w:rFonts w:ascii="宋体" w:hAnsi="宋体"/>
                <w:b/>
                <w:color w:val="000000" w:themeColor="text1"/>
                <w:sz w:val="20"/>
                <w:szCs w:val="20"/>
              </w:rPr>
            </w:pPr>
          </w:p>
        </w:tc>
        <w:tc>
          <w:tcPr>
            <w:tcW w:w="72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曾明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0791-83506195</w:t>
            </w:r>
            <w:bookmarkEnd w:id="12"/>
          </w:p>
        </w:tc>
        <w:tc>
          <w:tcPr>
            <w:tcW w:w="965" w:type="dxa"/>
            <w:gridSpan w:val="2"/>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2"/>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徐杰</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4"/>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2"/>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王亚民</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1"/>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Q：智能交通系统软件的开发、设计、维护</w:t>
            </w:r>
          </w:p>
          <w:p>
            <w:pPr>
              <w:spacing w:line="320" w:lineRule="exact"/>
              <w:rPr>
                <w:rFonts w:ascii="宋体" w:hAnsi="宋体"/>
                <w:b/>
                <w:color w:val="000000" w:themeColor="text1"/>
                <w:sz w:val="20"/>
                <w:szCs w:val="20"/>
              </w:rPr>
            </w:pPr>
            <w:r>
              <w:rPr>
                <w:rFonts w:ascii="宋体" w:hAnsi="宋体"/>
                <w:b/>
                <w:color w:val="000000" w:themeColor="text1"/>
                <w:sz w:val="20"/>
                <w:szCs w:val="20"/>
              </w:rPr>
              <w:t>E：智能交通系统软件的开发、设计、维护所涉及场所的相关环境管理活动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O：智能交通系统软件的开发、设计、维护所涉及场所的相关职业健康安全管理活动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Q：33.02.01;33.02.04</w:t>
            </w:r>
          </w:p>
          <w:p>
            <w:pPr>
              <w:spacing w:line="320" w:lineRule="exact"/>
              <w:rPr>
                <w:rFonts w:ascii="宋体" w:hAnsi="宋体"/>
                <w:b/>
                <w:color w:val="000000" w:themeColor="text1"/>
                <w:sz w:val="20"/>
                <w:szCs w:val="20"/>
              </w:rPr>
            </w:pPr>
            <w:r>
              <w:rPr>
                <w:rFonts w:ascii="宋体" w:hAnsi="宋体"/>
                <w:b/>
                <w:color w:val="000000" w:themeColor="text1"/>
                <w:sz w:val="20"/>
                <w:szCs w:val="20"/>
              </w:rPr>
              <w:t>E：33.02.01;33.02.04</w:t>
            </w:r>
          </w:p>
          <w:p>
            <w:pPr>
              <w:spacing w:line="320" w:lineRule="exact"/>
              <w:rPr>
                <w:rFonts w:ascii="宋体" w:hAnsi="宋体"/>
                <w:b/>
                <w:color w:val="000000" w:themeColor="text1"/>
                <w:sz w:val="20"/>
                <w:szCs w:val="20"/>
              </w:rPr>
            </w:pPr>
            <w:r>
              <w:rPr>
                <w:rFonts w:ascii="宋体" w:hAnsi="宋体"/>
                <w:b/>
                <w:color w:val="000000" w:themeColor="text1"/>
                <w:sz w:val="20"/>
                <w:szCs w:val="20"/>
              </w:rPr>
              <w:t>O：33.02.01;33.02.04</w:t>
            </w:r>
            <w:bookmarkEnd w:id="18"/>
          </w:p>
        </w:tc>
        <w:tc>
          <w:tcPr>
            <w:tcW w:w="1971"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017" w:type="dxa"/>
            <w:gridSpan w:val="2"/>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2020-12-10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1"/>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1"/>
          </w:tcPr>
          <w:p>
            <w:pPr>
              <w:widowControl/>
              <w:jc w:val="left"/>
              <w:rPr>
                <w:rFonts w:ascii="宋体" w:hAnsi="宋体"/>
                <w:b/>
                <w:color w:val="000000" w:themeColor="text1"/>
                <w:sz w:val="20"/>
                <w:szCs w:val="20"/>
              </w:rPr>
            </w:pPr>
          </w:p>
        </w:tc>
      </w:tr>
    </w:tbl>
    <w:p>
      <w:pPr>
        <w:rPr>
          <w:rFonts w:ascii="宋体" w:hAnsi="宋体" w:eastAsia="宋体" w:cs="Times New Roman"/>
          <w:b/>
          <w:color w:val="000000" w:themeColor="text1"/>
          <w:sz w:val="16"/>
          <w:szCs w:val="16"/>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7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101"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7101" w:type="dxa"/>
          </w:tcPr>
          <w:p>
            <w:pPr>
              <w:jc w:val="left"/>
              <w:rPr>
                <w:rFonts w:ascii="宋体" w:hAnsi="宋体"/>
                <w:b/>
                <w:color w:val="000000" w:themeColor="text1"/>
                <w:spacing w:val="-20"/>
                <w:sz w:val="20"/>
                <w:szCs w:val="20"/>
                <w:u w:val="single"/>
              </w:rPr>
            </w:pPr>
            <w:r>
              <w:rPr>
                <w:rFonts w:hint="eastAsia" w:ascii="宋体" w:hAnsi="宋体" w:eastAsia="宋体" w:cs="Times New Roman"/>
                <w:b w:val="0"/>
                <w:bCs/>
                <w:color w:val="000000" w:themeColor="text1"/>
                <w:sz w:val="20"/>
                <w:szCs w:val="20"/>
                <w:lang w:val="en-US" w:eastAsia="zh-CN"/>
              </w:rPr>
              <w:t>目标管理、资源（人员能力）管理、文件管理、基础设施、外部提供过程控制、内审、监测分析及环境/职业健康安全管理过程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pPr>
              <w:jc w:val="center"/>
              <w:rPr>
                <w:rFonts w:ascii="宋体" w:hAnsi="宋体"/>
                <w:b/>
                <w:color w:val="000000" w:themeColor="text1"/>
                <w:sz w:val="20"/>
                <w:szCs w:val="20"/>
              </w:rPr>
            </w:pPr>
            <w:r>
              <w:rPr>
                <w:rFonts w:hint="eastAsia" w:ascii="宋体" w:hAnsi="宋体"/>
                <w:b/>
                <w:color w:val="000000" w:themeColor="text1"/>
                <w:sz w:val="20"/>
                <w:szCs w:val="20"/>
              </w:rPr>
              <w:t>项目拓展部</w:t>
            </w:r>
          </w:p>
        </w:tc>
        <w:tc>
          <w:tcPr>
            <w:tcW w:w="7101" w:type="dxa"/>
          </w:tcPr>
          <w:p>
            <w:pPr>
              <w:jc w:val="left"/>
              <w:rPr>
                <w:rFonts w:ascii="宋体" w:hAnsi="宋体"/>
                <w:b/>
                <w:color w:val="000000" w:themeColor="text1"/>
                <w:spacing w:val="-20"/>
                <w:sz w:val="20"/>
                <w:szCs w:val="20"/>
                <w:u w:val="single"/>
              </w:rPr>
            </w:pPr>
            <w:r>
              <w:rPr>
                <w:rFonts w:hint="eastAsia" w:ascii="宋体" w:hAnsi="宋体" w:eastAsia="宋体" w:cs="Times New Roman"/>
                <w:b w:val="0"/>
                <w:bCs/>
                <w:color w:val="000000" w:themeColor="text1"/>
                <w:sz w:val="20"/>
                <w:szCs w:val="20"/>
                <w:lang w:val="en-US" w:eastAsia="zh-CN"/>
              </w:rPr>
              <w:t>顾客要求、顾客财产、顾客满意、环境/职业健康安全管理过程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pPr>
              <w:jc w:val="center"/>
              <w:rPr>
                <w:rFonts w:ascii="宋体" w:hAnsi="宋体"/>
                <w:b/>
                <w:color w:val="000000" w:themeColor="text1"/>
                <w:sz w:val="20"/>
                <w:szCs w:val="20"/>
              </w:rPr>
            </w:pPr>
            <w:r>
              <w:rPr>
                <w:rFonts w:hint="eastAsia" w:ascii="宋体" w:hAnsi="宋体"/>
                <w:b/>
                <w:color w:val="000000" w:themeColor="text1"/>
                <w:sz w:val="20"/>
                <w:szCs w:val="20"/>
              </w:rPr>
              <w:t>稽核结算部</w:t>
            </w:r>
          </w:p>
        </w:tc>
        <w:tc>
          <w:tcPr>
            <w:tcW w:w="7101" w:type="dxa"/>
          </w:tcPr>
          <w:p>
            <w:pPr>
              <w:jc w:val="left"/>
              <w:rPr>
                <w:rFonts w:ascii="宋体" w:hAnsi="宋体"/>
                <w:b/>
                <w:color w:val="000000" w:themeColor="text1"/>
                <w:spacing w:val="-20"/>
                <w:sz w:val="20"/>
                <w:szCs w:val="20"/>
                <w:u w:val="single"/>
              </w:rPr>
            </w:pPr>
            <w:r>
              <w:rPr>
                <w:rFonts w:hint="eastAsia" w:ascii="宋体" w:hAnsi="宋体" w:eastAsia="宋体" w:cs="Times New Roman"/>
                <w:b w:val="0"/>
                <w:bCs/>
                <w:color w:val="000000" w:themeColor="text1"/>
                <w:sz w:val="20"/>
                <w:szCs w:val="20"/>
                <w:lang w:val="en-US" w:eastAsia="zh-CN"/>
              </w:rPr>
              <w:t>交付后活动、环境/职业健康安全管理过程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pPr>
              <w:jc w:val="center"/>
              <w:rPr>
                <w:rFonts w:ascii="宋体" w:hAnsi="宋体"/>
                <w:b/>
                <w:color w:val="000000" w:themeColor="text1"/>
                <w:sz w:val="20"/>
                <w:szCs w:val="20"/>
              </w:rPr>
            </w:pPr>
            <w:r>
              <w:rPr>
                <w:rFonts w:hint="eastAsia" w:ascii="宋体" w:hAnsi="宋体"/>
                <w:b/>
                <w:color w:val="000000" w:themeColor="text1"/>
                <w:sz w:val="20"/>
                <w:szCs w:val="20"/>
              </w:rPr>
              <w:t>发行中心部</w:t>
            </w:r>
          </w:p>
        </w:tc>
        <w:tc>
          <w:tcPr>
            <w:tcW w:w="7101" w:type="dxa"/>
          </w:tcPr>
          <w:p>
            <w:pPr>
              <w:jc w:val="left"/>
              <w:rPr>
                <w:rFonts w:hint="default" w:ascii="宋体" w:hAnsi="宋体" w:eastAsia="宋体" w:cs="Times New Roman"/>
                <w:b w:val="0"/>
                <w:bCs/>
                <w:color w:val="000000" w:themeColor="text1"/>
                <w:sz w:val="20"/>
                <w:szCs w:val="20"/>
                <w:lang w:val="en-US" w:eastAsia="zh-CN"/>
              </w:rPr>
            </w:pPr>
            <w:r>
              <w:rPr>
                <w:rFonts w:hint="eastAsia" w:ascii="宋体" w:hAnsi="宋体" w:eastAsia="宋体" w:cs="Times New Roman"/>
                <w:b w:val="0"/>
                <w:bCs/>
                <w:color w:val="000000" w:themeColor="text1"/>
                <w:sz w:val="20"/>
                <w:szCs w:val="20"/>
                <w:lang w:val="en-US" w:eastAsia="zh-CN"/>
              </w:rPr>
              <w:t>过程提供控制、环境/职业健康安全管理过程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pPr>
              <w:jc w:val="center"/>
              <w:rPr>
                <w:rFonts w:ascii="宋体" w:hAnsi="宋体"/>
                <w:b/>
                <w:color w:val="000000" w:themeColor="text1"/>
                <w:szCs w:val="21"/>
              </w:rPr>
            </w:pPr>
            <w:r>
              <w:rPr>
                <w:rFonts w:hint="eastAsia" w:ascii="宋体" w:hAnsi="宋体" w:eastAsia="宋体" w:cs="Times New Roman"/>
                <w:b/>
                <w:color w:val="000000" w:themeColor="text1"/>
                <w:sz w:val="20"/>
                <w:szCs w:val="20"/>
              </w:rPr>
              <w:t>网络事业部</w:t>
            </w:r>
          </w:p>
        </w:tc>
        <w:tc>
          <w:tcPr>
            <w:tcW w:w="7101" w:type="dxa"/>
          </w:tcPr>
          <w:p>
            <w:pPr>
              <w:jc w:val="left"/>
              <w:rPr>
                <w:rFonts w:hint="eastAsia" w:ascii="宋体" w:hAnsi="宋体" w:eastAsia="宋体" w:cs="Times New Roman"/>
                <w:b w:val="0"/>
                <w:bCs/>
                <w:color w:val="000000" w:themeColor="text1"/>
                <w:sz w:val="20"/>
                <w:szCs w:val="20"/>
                <w:lang w:val="en-US" w:eastAsia="zh-CN"/>
              </w:rPr>
            </w:pPr>
            <w:r>
              <w:rPr>
                <w:rFonts w:hint="eastAsia" w:ascii="宋体" w:hAnsi="宋体" w:eastAsia="宋体" w:cs="Times New Roman"/>
                <w:b w:val="0"/>
                <w:bCs/>
                <w:color w:val="000000" w:themeColor="text1"/>
                <w:sz w:val="20"/>
                <w:szCs w:val="20"/>
                <w:lang w:val="en-US" w:eastAsia="zh-CN"/>
              </w:rPr>
              <w:t>过程提供控制、环境/职业健康安全管理过程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pPr>
              <w:jc w:val="center"/>
              <w:rPr>
                <w:rFonts w:hint="eastAsia" w:ascii="宋体" w:hAnsi="宋体" w:eastAsia="宋体" w:cs="Times New Roman"/>
                <w:b/>
                <w:color w:val="000000" w:themeColor="text1"/>
                <w:sz w:val="20"/>
                <w:szCs w:val="20"/>
              </w:rPr>
            </w:pPr>
            <w:r>
              <w:rPr>
                <w:rFonts w:hint="eastAsia" w:ascii="宋体" w:hAnsi="宋体" w:eastAsia="宋体" w:cs="Times New Roman"/>
                <w:b/>
                <w:color w:val="000000" w:themeColor="text1"/>
                <w:sz w:val="20"/>
                <w:szCs w:val="20"/>
              </w:rPr>
              <w:t>工程技术部</w:t>
            </w:r>
          </w:p>
        </w:tc>
        <w:tc>
          <w:tcPr>
            <w:tcW w:w="7101" w:type="dxa"/>
          </w:tcPr>
          <w:p>
            <w:pPr>
              <w:jc w:val="left"/>
              <w:rPr>
                <w:rFonts w:hint="default" w:ascii="宋体" w:hAnsi="宋体" w:eastAsia="宋体" w:cs="Times New Roman"/>
                <w:b w:val="0"/>
                <w:bCs/>
                <w:color w:val="000000" w:themeColor="text1"/>
                <w:sz w:val="20"/>
                <w:szCs w:val="20"/>
                <w:lang w:val="en-US" w:eastAsia="zh-CN"/>
              </w:rPr>
            </w:pPr>
            <w:r>
              <w:rPr>
                <w:rFonts w:hint="eastAsia" w:ascii="宋体" w:hAnsi="宋体" w:eastAsia="宋体" w:cs="Times New Roman"/>
                <w:b w:val="0"/>
                <w:bCs/>
                <w:color w:val="000000" w:themeColor="text1"/>
                <w:sz w:val="20"/>
                <w:szCs w:val="20"/>
                <w:lang w:val="en-US" w:eastAsia="zh-CN"/>
              </w:rPr>
              <w:t>设计开发、维护、环境/职业健康安全管理过程</w:t>
            </w:r>
          </w:p>
        </w:tc>
      </w:tr>
    </w:tbl>
    <w:p>
      <w:pPr>
        <w:ind w:left="-137" w:leftChars="-337" w:hanging="571" w:hangingChars="271"/>
        <w:rPr>
          <w:b/>
          <w:color w:val="000000" w:themeColor="text1"/>
          <w:szCs w:val="21"/>
        </w:rPr>
      </w:pPr>
    </w:p>
    <w:p>
      <w:pPr>
        <w:spacing w:line="360" w:lineRule="auto"/>
        <w:ind w:left="-137" w:leftChars="-337" w:hanging="571" w:hangingChars="271"/>
        <w:rPr>
          <w:rFonts w:ascii="宋体" w:hAnsi="宋体" w:eastAsia="宋体" w:cs="Times New Roman"/>
          <w:b/>
          <w:color w:val="000000" w:themeColor="text1"/>
          <w:szCs w:val="21"/>
        </w:rPr>
      </w:pPr>
      <w:r>
        <w:rPr>
          <w:rFonts w:ascii="宋体" w:hAnsi="宋体" w:eastAsia="宋体" w:cs="Times New Roman"/>
          <w:b/>
          <w:color w:val="000000" w:themeColor="text1"/>
          <w:szCs w:val="21"/>
        </w:rPr>
        <w:t xml:space="preserve">3. </w:t>
      </w:r>
      <w:r>
        <w:rPr>
          <w:rFonts w:hint="eastAsia" w:ascii="宋体" w:hAnsi="宋体" w:eastAsia="宋体" w:cs="Times New Roman"/>
          <w:b/>
          <w:color w:val="000000" w:themeColor="text1"/>
          <w:szCs w:val="21"/>
        </w:rPr>
        <w:t>已审核的分场所（分中心、分部或不在一起的部门）、临时/流动场所信息</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9921"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Pr>
          <w:p>
            <w:pPr>
              <w:rPr>
                <w:b/>
                <w:color w:val="000000" w:themeColor="text1"/>
                <w:sz w:val="20"/>
                <w:szCs w:val="20"/>
              </w:rPr>
            </w:pPr>
            <w:r>
              <w:rPr>
                <w:sz w:val="20"/>
              </w:rPr>
              <w:t>智能交通系统软件的开发、设计、维护</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b/>
                <w:color w:val="000000" w:themeColor="text1"/>
                <w:sz w:val="20"/>
                <w:szCs w:val="20"/>
              </w:rPr>
            </w:pPr>
            <w:r>
              <w:rPr>
                <w:rFonts w:hint="eastAsia"/>
                <w:b/>
                <w:color w:val="000000" w:themeColor="text1"/>
                <w:sz w:val="20"/>
                <w:szCs w:val="20"/>
              </w:rPr>
              <w:t>电子计算机场地通用技术规范 GBT 2887-2011</w:t>
            </w:r>
          </w:p>
          <w:p>
            <w:pPr>
              <w:rPr>
                <w:b/>
                <w:color w:val="000000" w:themeColor="text1"/>
                <w:sz w:val="20"/>
                <w:szCs w:val="20"/>
              </w:rPr>
            </w:pPr>
            <w:r>
              <w:rPr>
                <w:rFonts w:hint="eastAsia"/>
                <w:b/>
                <w:color w:val="000000" w:themeColor="text1"/>
                <w:sz w:val="20"/>
                <w:szCs w:val="20"/>
              </w:rPr>
              <w:t>电子信息系统机房设计规范 GB50174-2008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体系运行开始的2020年12月10日至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11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r>
        <w:br w:type="page"/>
      </w:r>
    </w:p>
    <w:p>
      <w:pPr>
        <w:ind w:left="-1" w:leftChars="-337" w:hanging="707" w:hangingChars="271"/>
        <w:rPr>
          <w:rFonts w:hint="eastAsia" w:ascii="宋体" w:hAnsi="宋体" w:eastAsia="宋体" w:cs="Times New Roman"/>
          <w:b/>
          <w:color w:val="000000" w:themeColor="text1"/>
          <w:sz w:val="26"/>
          <w:szCs w:val="26"/>
        </w:rPr>
      </w:pPr>
      <w:r>
        <w:rPr>
          <w:rFonts w:hint="eastAsia" w:ascii="宋体" w:hAnsi="宋体" w:eastAsia="宋体" w:cs="Times New Roman"/>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江西慧通科技发展有限责任公司</w:t>
            </w:r>
            <w:r>
              <w:rPr>
                <w:rFonts w:hint="default" w:ascii="Times New Roman" w:hAnsi="Times New Roman" w:cs="Times New Roman"/>
                <w:sz w:val="20"/>
                <w:szCs w:val="20"/>
                <w:lang w:val="zh-CN" w:eastAsia="zh-CN"/>
              </w:rPr>
              <w:t>成立于</w:t>
            </w:r>
            <w:r>
              <w:rPr>
                <w:rFonts w:hint="default" w:ascii="Times New Roman" w:hAnsi="Times New Roman" w:cs="Times New Roman"/>
                <w:sz w:val="20"/>
                <w:szCs w:val="20"/>
                <w:lang w:val="en-US" w:eastAsia="zh-CN"/>
              </w:rPr>
              <w:t>2002年09月17日，</w:t>
            </w:r>
            <w:r>
              <w:rPr>
                <w:rFonts w:hint="eastAsia" w:ascii="Times New Roman" w:hAnsi="Times New Roman" w:cs="Times New Roman"/>
                <w:sz w:val="20"/>
                <w:szCs w:val="20"/>
                <w:lang w:val="en-US" w:eastAsia="zh-CN"/>
              </w:rPr>
              <w:t>办公场所约2000平方米，</w:t>
            </w:r>
            <w:r>
              <w:rPr>
                <w:rFonts w:hint="default" w:ascii="Times New Roman" w:hAnsi="Times New Roman" w:cs="Times New Roman"/>
                <w:sz w:val="20"/>
                <w:szCs w:val="20"/>
                <w:lang w:val="en-US" w:eastAsia="zh-CN"/>
              </w:rPr>
              <w:t>公司注册资金3000万元。</w:t>
            </w:r>
            <w:bookmarkStart w:id="21" w:name="_GoBack"/>
            <w:bookmarkEnd w:id="21"/>
          </w:p>
          <w:p>
            <w:pPr>
              <w:spacing w:line="360" w:lineRule="auto"/>
              <w:ind w:firstLine="400" w:firstLineChars="200"/>
              <w:rPr>
                <w:rFonts w:hint="eastAsia" w:cs="Times New Roman"/>
                <w:sz w:val="20"/>
                <w:szCs w:val="20"/>
                <w:lang w:val="en-US" w:eastAsia="zh-CN"/>
              </w:rPr>
            </w:pPr>
            <w:r>
              <w:rPr>
                <w:rFonts w:hint="default" w:ascii="Times New Roman" w:hAnsi="Times New Roman" w:cs="Times New Roman"/>
                <w:sz w:val="20"/>
                <w:szCs w:val="20"/>
                <w:lang w:val="en-US" w:eastAsia="zh-CN"/>
              </w:rPr>
              <w:t>注册地位于江西省南昌市红谷滩区庐山南大道369号南昌铜锣湾广场写字楼-1401室</w:t>
            </w:r>
            <w:r>
              <w:rPr>
                <w:rFonts w:hint="eastAsia" w:cs="Times New Roman"/>
                <w:sz w:val="20"/>
                <w:szCs w:val="20"/>
                <w:lang w:val="en-US" w:eastAsia="zh-CN"/>
              </w:rPr>
              <w:t>；</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经营地址：江西省南昌市红谷滩区庐山南大道369号南昌铜锣湾广场写字楼1408室；</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zh-CN" w:eastAsia="zh-CN"/>
              </w:rPr>
              <w:t>主要产品有：</w:t>
            </w:r>
            <w:r>
              <w:rPr>
                <w:rFonts w:hint="default" w:ascii="Times New Roman" w:hAnsi="Times New Roman" w:cs="Times New Roman"/>
                <w:sz w:val="20"/>
                <w:szCs w:val="20"/>
                <w:lang w:val="en-US" w:eastAsia="zh-CN"/>
              </w:rPr>
              <w:t>智能交通系统软件</w:t>
            </w:r>
            <w:r>
              <w:rPr>
                <w:rFonts w:hint="eastAsia" w:ascii="Times New Roman" w:hAnsi="Times New Roman" w:cs="Times New Roman"/>
                <w:sz w:val="20"/>
                <w:szCs w:val="20"/>
                <w:lang w:val="en-US" w:eastAsia="zh-CN"/>
              </w:rPr>
              <w:t>开发</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设计、</w:t>
            </w:r>
            <w:r>
              <w:rPr>
                <w:rFonts w:hint="default" w:ascii="Times New Roman" w:hAnsi="Times New Roman" w:cs="Times New Roman"/>
                <w:sz w:val="20"/>
                <w:szCs w:val="20"/>
                <w:lang w:val="en-US" w:eastAsia="zh-CN"/>
              </w:rPr>
              <w:t>维护</w:t>
            </w:r>
            <w:r>
              <w:rPr>
                <w:rFonts w:hint="default" w:ascii="Times New Roman" w:hAnsi="Times New Roman" w:cs="Times New Roman"/>
                <w:sz w:val="20"/>
                <w:szCs w:val="20"/>
                <w:lang w:val="zh-CN" w:eastAsia="zh-CN"/>
              </w:rPr>
              <w:t>等，</w:t>
            </w:r>
            <w:r>
              <w:rPr>
                <w:rFonts w:hint="default" w:ascii="Times New Roman" w:hAnsi="Times New Roman" w:cs="Times New Roman"/>
                <w:sz w:val="20"/>
                <w:szCs w:val="20"/>
                <w:lang w:val="en-US" w:eastAsia="zh-CN"/>
              </w:rPr>
              <w:t>覆盖了认证范围：</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Q：智能交通系统软件的开发、设计、维护；</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E：智能交通系统软件的开发、设计、维护所涉及场所的相关环境管理活动；</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O：智能交通系统软件的开发、设计、维护所涉及场所的相关职业健康安全管理活动；</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公司设置</w:t>
            </w:r>
            <w:r>
              <w:rPr>
                <w:rFonts w:hint="default" w:ascii="Times New Roman" w:hAnsi="Times New Roman" w:cs="Times New Roman"/>
                <w:b w:val="0"/>
                <w:bCs w:val="0"/>
                <w:sz w:val="20"/>
                <w:szCs w:val="20"/>
                <w:lang w:val="en-US" w:eastAsia="zh-CN"/>
              </w:rPr>
              <w:t>有综合部、项目拓展部、稽核结算部、发行中心部、网络事业部、工程技术部。</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公司定期汇总分析市场情况，包括行业发展情况，相关企业产品分析，竞品分析，行业政策跟踪，以保证随时掌握行业及竞争企业的发展动态，为研发及业务拓展提供决策依据；确定与本公司管理目标和战略方向相关并影响实现管理体系预期结果的各种内部因素（公司的价值观、文化、知识、绩效等相关因素）和外部因素（国际、国家、地区和当地的各种法律法规、技术、竞争、文化和社会因素等），如：</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外部因素——国家政策变动、竞争对手、客户需求的变化、新技术的采用等；</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内部因素——公司文化、内部管理机制的建立、人员稳定性、员工年龄、经验等；</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这些因素包括了需要考虑的正面和负面因素或条件。</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公司每年根据公司销售人员从市场、客户、网络等搜集到的信息并结合公司自身业务运作情况进行分析，通过分析对这些内部和外部因素的相关信息进行监视和评审以确保其充分和适宜。</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公司财务能保障公司质量/环境/职业健康安全管理体系运行所需，公司的技术、基础设施、环保安全设施配备齐全、过程运行环境控制良好。</w:t>
            </w:r>
          </w:p>
          <w:p>
            <w:pPr>
              <w:spacing w:line="360" w:lineRule="auto"/>
              <w:ind w:firstLine="400" w:firstLineChars="200"/>
              <w:rPr>
                <w:rFonts w:hint="eastAsia" w:eastAsia="宋体"/>
                <w:b/>
                <w:color w:val="000000" w:themeColor="text1"/>
                <w:sz w:val="20"/>
                <w:szCs w:val="20"/>
                <w:lang w:val="en-US" w:eastAsia="zh-CN"/>
              </w:rPr>
            </w:pPr>
            <w:r>
              <w:rPr>
                <w:rFonts w:hint="default" w:ascii="Times New Roman" w:hAnsi="Times New Roman" w:cs="Times New Roman"/>
                <w:sz w:val="20"/>
                <w:szCs w:val="20"/>
                <w:lang w:val="en-US" w:eastAsia="zh-CN"/>
              </w:rPr>
              <w:t>经查，符合要求。</w:t>
            </w: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360" w:lineRule="auto"/>
              <w:ind w:firstLine="400" w:firstLineChars="200"/>
              <w:rPr>
                <w:rFonts w:hint="eastAsia" w:eastAsia="宋体"/>
                <w:b/>
                <w:color w:val="000000" w:themeColor="text1"/>
                <w:sz w:val="20"/>
                <w:szCs w:val="20"/>
                <w:lang w:val="en-US" w:eastAsia="zh-CN"/>
              </w:rPr>
            </w:pPr>
            <w:r>
              <w:rPr>
                <w:rFonts w:hint="default" w:ascii="Times New Roman" w:hAnsi="Times New Roman" w:cs="Times New Roman"/>
                <w:sz w:val="20"/>
                <w:szCs w:val="20"/>
                <w:lang w:val="en-US" w:eastAsia="zh-CN"/>
              </w:rPr>
              <w:t>公司确定了与质量、环境、职业健康安全管理体系有关的相关方包括：顾客/最终消费者、员工、政府、外部供方、竞争对手、社会相邻单位等；公司明确了相关方要求与期望、监测指标或项目、监测频率、监测部门等。</w:t>
            </w: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400" w:firstLineChars="200"/>
              <w:rPr>
                <w:rFonts w:hint="eastAsia"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 xml:space="preserve">质量至上、持续创新、诚实守信、顾客至上 </w:t>
            </w:r>
          </w:p>
          <w:p>
            <w:pPr>
              <w:spacing w:line="360" w:lineRule="auto"/>
              <w:ind w:firstLine="400" w:firstLineChars="20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de-DE" w:eastAsia="zh-CN"/>
              </w:rPr>
              <w:t>预防为主，降低风险；遵章守法，减污降耗</w:t>
            </w:r>
            <w:r>
              <w:rPr>
                <w:rFonts w:hint="default" w:ascii="Times New Roman" w:hAnsi="Times New Roman" w:cs="Times New Roman"/>
                <w:sz w:val="20"/>
                <w:szCs w:val="20"/>
                <w:lang w:val="en-US" w:eastAsia="zh-CN"/>
              </w:rPr>
              <w:t>。</w:t>
            </w:r>
          </w:p>
          <w:p>
            <w:pPr>
              <w:spacing w:line="360" w:lineRule="auto"/>
              <w:ind w:firstLine="400" w:firstLineChars="200"/>
              <w:rPr>
                <w:b/>
                <w:color w:val="000000" w:themeColor="text1"/>
                <w:sz w:val="20"/>
                <w:szCs w:val="20"/>
              </w:rPr>
            </w:pPr>
            <w:r>
              <w:rPr>
                <w:rFonts w:hint="default" w:ascii="Times New Roman" w:hAnsi="Times New Roman" w:cs="Times New Roman"/>
                <w:sz w:val="20"/>
                <w:szCs w:val="20"/>
                <w:lang w:val="de-DE" w:eastAsia="zh-CN"/>
              </w:rPr>
              <w:t>方针适宜于公司现状，在管理手册中明确，通过文件发放，使员工获知，适用时提供给相关方。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hint="eastAsia"/>
                <w:b/>
                <w:color w:val="000000" w:themeColor="text1"/>
                <w:sz w:val="20"/>
                <w:szCs w:val="20"/>
              </w:rPr>
            </w:pPr>
            <w:r>
              <w:rPr>
                <w:b/>
                <w:color w:val="000000" w:themeColor="text1"/>
                <w:sz w:val="20"/>
                <w:szCs w:val="20"/>
              </w:rPr>
              <w:t>4、</w:t>
            </w:r>
            <w:r>
              <w:rPr>
                <w:rFonts w:hint="eastAsia"/>
                <w:b/>
                <w:color w:val="000000" w:themeColor="text1"/>
                <w:sz w:val="20"/>
                <w:szCs w:val="20"/>
              </w:rPr>
              <w:t>风险识别与控制策划（QMS）</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基于对4.1和4.2的考虑，分析了公司存在的风险和机遇：</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机遇：政策影响和经济发展的走势，对企业有较好的的发展机遇。</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风险：</w:t>
            </w:r>
            <w:r>
              <w:rPr>
                <w:rFonts w:hint="eastAsia" w:ascii="Times New Roman" w:hAnsi="Times New Roman" w:cs="Times New Roman"/>
                <w:sz w:val="20"/>
                <w:szCs w:val="20"/>
                <w:lang w:val="en-US" w:eastAsia="zh-CN"/>
              </w:rPr>
              <w:t>同行竞争压力</w:t>
            </w:r>
            <w:r>
              <w:rPr>
                <w:rFonts w:hint="default" w:ascii="Times New Roman" w:hAnsi="Times New Roman" w:cs="Times New Roman"/>
                <w:sz w:val="20"/>
                <w:szCs w:val="20"/>
                <w:lang w:val="en-US" w:eastAsia="zh-CN"/>
              </w:rPr>
              <w:t>。</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编制有《风险和机遇的应对控制程序》，对组织内外的风险和机遇进行了策划。介绍说，公司识别了风险和机遇来源、风险和机遇内容、管理措施、责任部门、实时时间、评价措施等；</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为应对相应风险和机遇，公司依据GB/T19001-2016、GB/T24001-2016、GB/T45001-2020标准的要求并结合本公司的具体情况，采取PDCA的过程方法，建立、实施、保持并持续改进质量、环境、职业健康安全管理体系。</w:t>
            </w:r>
          </w:p>
          <w:p>
            <w:pPr>
              <w:spacing w:line="360" w:lineRule="auto"/>
              <w:ind w:firstLine="400" w:firstLineChars="200"/>
              <w:rPr>
                <w:rFonts w:hint="eastAsia" w:eastAsia="宋体"/>
                <w:b/>
                <w:color w:val="000000" w:themeColor="text1"/>
                <w:sz w:val="20"/>
                <w:szCs w:val="20"/>
                <w:lang w:val="en-US" w:eastAsia="zh-CN"/>
              </w:rPr>
            </w:pPr>
            <w:r>
              <w:rPr>
                <w:rFonts w:hint="default" w:ascii="Times New Roman" w:hAnsi="Times New Roman" w:cs="Times New Roman"/>
                <w:sz w:val="20"/>
                <w:szCs w:val="20"/>
              </w:rPr>
              <w:t>质量、环境、职业健康安全管理体系于2020年</w:t>
            </w:r>
            <w:r>
              <w:rPr>
                <w:rFonts w:hint="eastAsia" w:ascii="Times New Roman" w:hAnsi="Times New Roman" w:cs="Times New Roman"/>
                <w:sz w:val="20"/>
                <w:szCs w:val="20"/>
                <w:lang w:val="en-US" w:eastAsia="zh-CN"/>
              </w:rPr>
              <w:t>12</w:t>
            </w:r>
            <w:r>
              <w:rPr>
                <w:rFonts w:hint="default" w:ascii="Times New Roman" w:hAnsi="Times New Roman" w:cs="Times New Roman"/>
                <w:sz w:val="20"/>
                <w:szCs w:val="20"/>
              </w:rPr>
              <w:t>月10日建立并正式实施。</w:t>
            </w: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b/>
                <w:sz w:val="20"/>
                <w:szCs w:val="20"/>
              </w:rPr>
              <w:t>客户需求调查分析</w:t>
            </w:r>
            <w:r>
              <w:rPr>
                <w:rFonts w:hint="eastAsia"/>
                <w:b/>
                <w:sz w:val="20"/>
                <w:szCs w:val="20"/>
                <w:lang w:eastAsia="zh-CN"/>
              </w:rPr>
              <w:t>—</w:t>
            </w:r>
            <w:r>
              <w:rPr>
                <w:rFonts w:hint="eastAsia"/>
                <w:b/>
                <w:sz w:val="20"/>
                <w:szCs w:val="20"/>
              </w:rPr>
              <w:t>初步设计</w:t>
            </w:r>
            <w:r>
              <w:rPr>
                <w:rFonts w:hint="eastAsia"/>
                <w:b/>
                <w:sz w:val="20"/>
                <w:szCs w:val="20"/>
                <w:lang w:eastAsia="zh-CN"/>
              </w:rPr>
              <w:t>—</w:t>
            </w:r>
            <w:r>
              <w:rPr>
                <w:rFonts w:hint="eastAsia"/>
                <w:b/>
                <w:sz w:val="20"/>
                <w:szCs w:val="20"/>
              </w:rPr>
              <w:t>详细设计</w:t>
            </w:r>
            <w:r>
              <w:rPr>
                <w:rFonts w:hint="eastAsia"/>
                <w:b/>
                <w:sz w:val="20"/>
                <w:szCs w:val="20"/>
                <w:lang w:eastAsia="zh-CN"/>
              </w:rPr>
              <w:t>—</w:t>
            </w:r>
            <w:r>
              <w:rPr>
                <w:rFonts w:hint="eastAsia"/>
                <w:b/>
                <w:sz w:val="20"/>
                <w:szCs w:val="20"/>
              </w:rPr>
              <w:t>采购硬件设备</w:t>
            </w:r>
            <w:r>
              <w:rPr>
                <w:rFonts w:hint="eastAsia"/>
                <w:b/>
                <w:sz w:val="20"/>
                <w:szCs w:val="20"/>
                <w:lang w:eastAsia="zh-CN"/>
              </w:rPr>
              <w:t>—</w:t>
            </w:r>
            <w:r>
              <w:rPr>
                <w:rFonts w:hint="eastAsia"/>
                <w:b/>
                <w:sz w:val="20"/>
                <w:szCs w:val="20"/>
              </w:rPr>
              <w:t>软硬件安装调试</w:t>
            </w:r>
            <w:r>
              <w:rPr>
                <w:rFonts w:hint="eastAsia"/>
                <w:b/>
                <w:sz w:val="20"/>
                <w:szCs w:val="20"/>
                <w:lang w:eastAsia="zh-CN"/>
              </w:rPr>
              <w:t>—</w:t>
            </w:r>
            <w:r>
              <w:rPr>
                <w:rFonts w:hint="eastAsia"/>
                <w:b/>
                <w:sz w:val="20"/>
                <w:szCs w:val="20"/>
              </w:rPr>
              <w:t>交付</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b/>
                <w:sz w:val="20"/>
                <w:szCs w:val="20"/>
                <w:u w:val="single"/>
                <w:lang w:val="en-US" w:eastAsia="zh-CN"/>
              </w:rPr>
              <w:t>设计、安装调试</w:t>
            </w:r>
            <w:r>
              <w:rPr>
                <w:rFonts w:hint="eastAsia" w:ascii="宋体" w:hAnsi="宋体"/>
                <w:b/>
                <w:color w:val="000000" w:themeColor="text1"/>
                <w:sz w:val="20"/>
                <w:szCs w:val="20"/>
                <w:u w:val="single"/>
              </w:rPr>
              <w:t>，</w:t>
            </w:r>
          </w:p>
          <w:p>
            <w:pPr>
              <w:tabs>
                <w:tab w:val="left" w:pos="540"/>
              </w:tabs>
              <w:spacing w:line="300" w:lineRule="exact"/>
              <w:ind w:left="201" w:hanging="201" w:hangingChars="100"/>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w:t>
            </w:r>
          </w:p>
          <w:p>
            <w:pPr>
              <w:tabs>
                <w:tab w:val="left" w:pos="540"/>
              </w:tabs>
              <w:spacing w:line="300" w:lineRule="exact"/>
              <w:ind w:left="201" w:hanging="201" w:hangingChars="100"/>
              <w:rPr>
                <w:rFonts w:ascii="宋体" w:hAnsi="宋体"/>
                <w:b/>
                <w:color w:val="000000" w:themeColor="text1"/>
                <w:sz w:val="20"/>
                <w:szCs w:val="20"/>
              </w:rPr>
            </w:pP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w:t>
            </w:r>
            <w:r>
              <w:rPr>
                <w:rFonts w:hint="eastAsia" w:ascii="宋体" w:hAnsi="宋体"/>
                <w:b/>
                <w:color w:val="000000" w:themeColor="text1"/>
                <w:sz w:val="20"/>
                <w:szCs w:val="20"/>
              </w:rPr>
              <w:t xml:space="preserve"> ，不适用理由： </w:t>
            </w:r>
          </w:p>
          <w:p>
            <w:pPr>
              <w:tabs>
                <w:tab w:val="left" w:pos="540"/>
              </w:tabs>
              <w:spacing w:line="300" w:lineRule="exact"/>
              <w:ind w:left="211" w:hanging="201" w:hangingChars="100"/>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重大环境因素：固体废物排放、潜在火灾；</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通用措施——</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制定目标、指标，编制运行控制文件，运行控制；一旦发生按相关应急预案执行。</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固（危）废——</w:t>
            </w:r>
          </w:p>
          <w:p>
            <w:pPr>
              <w:spacing w:line="360" w:lineRule="auto"/>
              <w:ind w:firstLine="400" w:firstLineChars="200"/>
              <w:rPr>
                <w:rFonts w:hint="default" w:ascii="Times New Roman" w:hAnsi="Times New Roman" w:cs="Times New Roman"/>
                <w:sz w:val="20"/>
                <w:szCs w:val="20"/>
                <w:highlight w:val="yellow"/>
                <w:lang w:val="en-US" w:eastAsia="zh-CN"/>
              </w:rPr>
            </w:pPr>
            <w:r>
              <w:rPr>
                <w:rFonts w:hint="default" w:ascii="Times New Roman" w:hAnsi="Times New Roman" w:cs="Times New Roman"/>
                <w:sz w:val="20"/>
                <w:szCs w:val="20"/>
                <w:highlight w:val="none"/>
                <w:lang w:val="en-US" w:eastAsia="zh-CN"/>
              </w:rPr>
              <w:t>一般固废集中收集外售；危废以旧换新由供应商带回；</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潜在火灾——</w:t>
            </w:r>
          </w:p>
          <w:p>
            <w:pPr>
              <w:spacing w:line="360" w:lineRule="auto"/>
              <w:ind w:firstLine="400" w:firstLineChars="200"/>
              <w:rPr>
                <w:b/>
                <w:color w:val="000000" w:themeColor="text1"/>
                <w:sz w:val="20"/>
                <w:szCs w:val="20"/>
              </w:rPr>
            </w:pPr>
            <w:r>
              <w:rPr>
                <w:rFonts w:hint="eastAsia" w:ascii="Times New Roman" w:hAnsi="Times New Roman" w:cs="Times New Roman"/>
                <w:sz w:val="20"/>
                <w:szCs w:val="20"/>
                <w:lang w:val="en-US" w:eastAsia="zh-CN"/>
              </w:rPr>
              <w:t>办公</w:t>
            </w:r>
            <w:r>
              <w:rPr>
                <w:rFonts w:hint="default" w:ascii="Times New Roman" w:hAnsi="Times New Roman" w:cs="Times New Roman"/>
                <w:sz w:val="20"/>
                <w:szCs w:val="20"/>
                <w:lang w:val="en-US" w:eastAsia="zh-CN"/>
              </w:rPr>
              <w:t>设备、电路定期检修、检查；配置消防器材、做好火灾预防措施；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不可接受风险：</w:t>
            </w:r>
            <w:r>
              <w:rPr>
                <w:rFonts w:hint="eastAsia" w:ascii="Times New Roman" w:hAnsi="Times New Roman" w:cs="Times New Roman"/>
                <w:sz w:val="20"/>
                <w:szCs w:val="20"/>
                <w:lang w:val="en-US" w:eastAsia="zh-CN"/>
              </w:rPr>
              <w:t>触电和潜在火灾</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通用控制措施——</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制定目标、指标，编制运行控制文件，运行控制；设置警示标志标识；一旦发生按相关应急预案执行。</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火灾，触电——</w:t>
            </w:r>
          </w:p>
          <w:p>
            <w:pPr>
              <w:spacing w:line="360" w:lineRule="auto"/>
              <w:ind w:firstLine="400" w:firstLineChars="200"/>
              <w:rPr>
                <w:rFonts w:hint="eastAsia" w:eastAsia="宋体"/>
                <w:b/>
                <w:color w:val="000000" w:themeColor="text1"/>
                <w:sz w:val="20"/>
                <w:szCs w:val="20"/>
                <w:lang w:val="en-US" w:eastAsia="zh-CN"/>
              </w:rPr>
            </w:pPr>
            <w:r>
              <w:rPr>
                <w:rFonts w:hint="eastAsia" w:ascii="Times New Roman" w:hAnsi="Times New Roman" w:cs="Times New Roman"/>
                <w:sz w:val="20"/>
                <w:szCs w:val="20"/>
                <w:lang w:val="en-US" w:eastAsia="zh-CN"/>
              </w:rPr>
              <w:t>办公</w:t>
            </w:r>
            <w:r>
              <w:rPr>
                <w:rFonts w:hint="default" w:ascii="Times New Roman" w:hAnsi="Times New Roman" w:cs="Times New Roman"/>
                <w:sz w:val="20"/>
                <w:szCs w:val="20"/>
                <w:lang w:val="en-US" w:eastAsia="zh-CN"/>
              </w:rPr>
              <w:t>设备、电路定期检修、检查；配置消防器材、做好火灾预防措施；</w:t>
            </w:r>
            <w:r>
              <w:rPr>
                <w:rFonts w:hint="eastAsia" w:ascii="宋体" w:hAnsi="宋体"/>
                <w:b/>
                <w:color w:val="000000" w:themeColor="text1"/>
                <w:spacing w:val="-8"/>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300" w:lineRule="exact"/>
              <w:rPr>
                <w:b/>
                <w:color w:val="000000" w:themeColor="text1"/>
                <w:spacing w:val="-4"/>
                <w:sz w:val="20"/>
                <w:szCs w:val="20"/>
              </w:rPr>
            </w:pPr>
            <w:r>
              <w:rPr>
                <w:rFonts w:hint="eastAsia"/>
                <w:b/>
                <w:color w:val="000000" w:themeColor="text1"/>
                <w:sz w:val="20"/>
                <w:szCs w:val="20"/>
              </w:rPr>
              <w:t xml:space="preserve">4. </w:t>
            </w:r>
            <w:r>
              <w:rPr>
                <w:rFonts w:hint="eastAsia" w:ascii="宋体" w:hAnsi="宋体"/>
                <w:b/>
                <w:color w:val="000000" w:themeColor="text1"/>
                <w:spacing w:val="-4"/>
                <w:sz w:val="20"/>
                <w:szCs w:val="20"/>
              </w:rPr>
              <w:t>法律法规及其他要求</w:t>
            </w:r>
          </w:p>
          <w:p>
            <w:pPr>
              <w:tabs>
                <w:tab w:val="left" w:pos="540"/>
              </w:tabs>
              <w:spacing w:line="300" w:lineRule="exact"/>
              <w:ind w:left="211" w:hanging="201" w:hangingChars="100"/>
              <w:rPr>
                <w:rFonts w:ascii="宋体" w:hAnsi="宋体"/>
                <w:b/>
                <w:color w:val="000000" w:themeColor="text1"/>
                <w:sz w:val="20"/>
                <w:szCs w:val="20"/>
              </w:rPr>
            </w:pPr>
          </w:p>
          <w:p>
            <w:pPr>
              <w:pStyle w:val="12"/>
              <w:numPr>
                <w:ilvl w:val="0"/>
                <w:numId w:val="2"/>
              </w:numPr>
              <w:tabs>
                <w:tab w:val="left" w:pos="540"/>
              </w:tabs>
              <w:spacing w:line="300" w:lineRule="exact"/>
              <w:ind w:firstLineChars="0"/>
              <w:rPr>
                <w:rFonts w:ascii="宋体" w:hAnsi="宋体"/>
                <w:b/>
                <w:color w:val="000000" w:themeColor="text1"/>
                <w:sz w:val="20"/>
                <w:szCs w:val="20"/>
              </w:rPr>
            </w:pPr>
            <w:r>
              <w:rPr>
                <w:rFonts w:hint="eastAsia" w:ascii="宋体" w:hAnsi="宋体"/>
                <w:b/>
                <w:color w:val="000000" w:themeColor="text1"/>
                <w:sz w:val="20"/>
                <w:szCs w:val="20"/>
              </w:rPr>
              <w:t>获取法律法规项，</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法律法规获取充分，□法律法规获取有遗漏，缺少</w:t>
            </w:r>
          </w:p>
          <w:p>
            <w:pPr>
              <w:tabs>
                <w:tab w:val="left" w:pos="540"/>
              </w:tabs>
              <w:spacing w:line="300" w:lineRule="exact"/>
              <w:ind w:left="-4" w:leftChars="-43" w:hanging="86" w:hangingChars="43"/>
              <w:rPr>
                <w:rFonts w:ascii="宋体" w:hAnsi="宋体"/>
                <w:b/>
                <w:color w:val="000000" w:themeColor="text1"/>
                <w:sz w:val="20"/>
                <w:szCs w:val="20"/>
                <w:u w:val="single"/>
              </w:rPr>
            </w:pPr>
          </w:p>
          <w:p>
            <w:pPr>
              <w:pStyle w:val="12"/>
              <w:numPr>
                <w:ilvl w:val="0"/>
                <w:numId w:val="2"/>
              </w:numPr>
              <w:tabs>
                <w:tab w:val="left" w:pos="540"/>
              </w:tabs>
              <w:spacing w:line="300" w:lineRule="exact"/>
              <w:ind w:firstLineChars="0"/>
              <w:rPr>
                <w:rFonts w:ascii="宋体" w:hAnsi="宋体"/>
                <w:b/>
                <w:color w:val="000000" w:themeColor="text1"/>
                <w:sz w:val="20"/>
                <w:szCs w:val="20"/>
              </w:rPr>
            </w:pPr>
            <w:r>
              <w:rPr>
                <w:rFonts w:hint="eastAsia" w:ascii="宋体" w:hAnsi="宋体"/>
                <w:b/>
                <w:color w:val="000000" w:themeColor="text1"/>
                <w:sz w:val="20"/>
                <w:szCs w:val="20"/>
              </w:rPr>
              <w:t>结合公司的</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产品/服务</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环境因素</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危险源，</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 w:val="20"/>
                <w:szCs w:val="20"/>
              </w:rPr>
            </w:pPr>
            <w:r>
              <w:rPr>
                <w:rFonts w:hint="eastAsia" w:ascii="宋体" w:hAnsi="宋体"/>
                <w:b/>
                <w:color w:val="000000" w:themeColor="text1"/>
                <w:sz w:val="20"/>
                <w:szCs w:val="20"/>
              </w:rPr>
              <w:t>法律法规的宣传方式：</w:t>
            </w:r>
          </w:p>
          <w:p>
            <w:pPr>
              <w:pStyle w:val="12"/>
              <w:numPr>
                <w:ilvl w:val="0"/>
                <w:numId w:val="2"/>
              </w:numPr>
              <w:tabs>
                <w:tab w:val="left" w:pos="540"/>
              </w:tabs>
              <w:spacing w:line="300" w:lineRule="exact"/>
              <w:ind w:firstLineChars="0"/>
              <w:rPr>
                <w:rFonts w:ascii="宋体" w:hAnsi="宋体"/>
                <w:b/>
                <w:color w:val="000000" w:themeColor="text1"/>
                <w:sz w:val="20"/>
                <w:szCs w:val="20"/>
              </w:rPr>
            </w:pPr>
            <w:r>
              <w:rPr>
                <w:rFonts w:hint="eastAsia" w:ascii="宋体" w:hAnsi="宋体"/>
                <w:b/>
                <w:color w:val="000000" w:themeColor="text1"/>
                <w:sz w:val="20"/>
                <w:szCs w:val="20"/>
              </w:rPr>
              <w:t>法律法规要求及时更新了</w:t>
            </w:r>
          </w:p>
          <w:p>
            <w:pPr>
              <w:tabs>
                <w:tab w:val="left" w:pos="0"/>
              </w:tabs>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 xml:space="preserve">5. </w:t>
            </w:r>
            <w:r>
              <w:rPr>
                <w:rFonts w:hint="eastAsia" w:ascii="宋体" w:hAnsi="宋体"/>
                <w:b/>
                <w:color w:val="000000" w:themeColor="text1"/>
                <w:sz w:val="20"/>
                <w:szCs w:val="20"/>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ind w:firstLine="400" w:firstLineChars="200"/>
              <w:rPr>
                <w:rFonts w:hint="default" w:ascii="Times New Roman" w:hAnsi="Times New Roman" w:cs="Times New Roman"/>
                <w:sz w:val="20"/>
                <w:szCs w:val="20"/>
                <w:lang w:val="de-DE" w:eastAsia="zh-CN"/>
              </w:rPr>
            </w:pPr>
            <w:r>
              <w:rPr>
                <w:rFonts w:hint="default" w:ascii="Times New Roman" w:hAnsi="Times New Roman" w:cs="Times New Roman"/>
                <w:sz w:val="20"/>
                <w:szCs w:val="20"/>
                <w:lang w:val="de-DE" w:eastAsia="zh-CN"/>
              </w:rPr>
              <w:t>质量目标：</w:t>
            </w:r>
          </w:p>
          <w:p>
            <w:pPr>
              <w:spacing w:line="360" w:lineRule="auto"/>
              <w:ind w:firstLine="400" w:firstLineChars="200"/>
              <w:rPr>
                <w:rFonts w:hint="eastAsia"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系统集成调试一次通过率大于80%；</w:t>
            </w:r>
          </w:p>
          <w:p>
            <w:pPr>
              <w:spacing w:line="360" w:lineRule="auto"/>
              <w:ind w:firstLine="400" w:firstLineChars="200"/>
              <w:rPr>
                <w:rFonts w:hint="default"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顾客满意度≥95分；</w:t>
            </w:r>
          </w:p>
          <w:p>
            <w:pPr>
              <w:spacing w:line="360" w:lineRule="auto"/>
              <w:ind w:firstLine="400" w:firstLineChars="200"/>
              <w:rPr>
                <w:rFonts w:hint="default" w:ascii="Times New Roman" w:hAnsi="Times New Roman" w:cs="Times New Roman"/>
                <w:sz w:val="20"/>
                <w:szCs w:val="20"/>
                <w:lang w:val="de-DE" w:eastAsia="zh-CN"/>
              </w:rPr>
            </w:pPr>
            <w:r>
              <w:rPr>
                <w:rFonts w:hint="default" w:ascii="Times New Roman" w:hAnsi="Times New Roman" w:cs="Times New Roman"/>
                <w:sz w:val="20"/>
                <w:szCs w:val="20"/>
                <w:lang w:val="de-DE" w:eastAsia="zh-CN"/>
              </w:rPr>
              <w:t>环保安全目标：</w:t>
            </w:r>
          </w:p>
          <w:p>
            <w:pPr>
              <w:spacing w:line="360" w:lineRule="auto"/>
              <w:ind w:firstLine="400" w:firstLineChars="200"/>
              <w:rPr>
                <w:rFonts w:hint="default" w:ascii="Times New Roman" w:hAnsi="Times New Roman" w:cs="Times New Roman"/>
                <w:sz w:val="20"/>
                <w:szCs w:val="20"/>
                <w:lang w:val="de-DE" w:eastAsia="zh-CN"/>
              </w:rPr>
            </w:pPr>
            <w:r>
              <w:rPr>
                <w:rFonts w:hint="default" w:ascii="Times New Roman" w:hAnsi="Times New Roman" w:cs="Times New Roman"/>
                <w:sz w:val="20"/>
                <w:szCs w:val="20"/>
                <w:lang w:val="de-DE" w:eastAsia="zh-CN"/>
              </w:rPr>
              <w:t>固体废弃物分类管理，处理率为100%；</w:t>
            </w:r>
          </w:p>
          <w:p>
            <w:pPr>
              <w:spacing w:line="360" w:lineRule="auto"/>
              <w:ind w:firstLine="400" w:firstLineChars="200"/>
              <w:rPr>
                <w:rFonts w:hint="default" w:ascii="Times New Roman" w:hAnsi="Times New Roman" w:cs="Times New Roman"/>
                <w:sz w:val="20"/>
                <w:szCs w:val="20"/>
                <w:lang w:val="de-DE" w:eastAsia="zh-CN"/>
              </w:rPr>
            </w:pPr>
            <w:r>
              <w:rPr>
                <w:rFonts w:hint="default" w:ascii="Times New Roman" w:hAnsi="Times New Roman" w:cs="Times New Roman"/>
                <w:sz w:val="20"/>
                <w:szCs w:val="20"/>
                <w:lang w:val="de-DE" w:eastAsia="zh-CN"/>
              </w:rPr>
              <w:t>重大火灾事故为0；</w:t>
            </w:r>
          </w:p>
          <w:p>
            <w:pPr>
              <w:spacing w:line="360" w:lineRule="auto"/>
              <w:ind w:firstLine="400" w:firstLineChars="200"/>
              <w:rPr>
                <w:rFonts w:hint="default"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触电事故</w:t>
            </w:r>
            <w:r>
              <w:rPr>
                <w:rFonts w:hint="default" w:ascii="Times New Roman" w:hAnsi="Times New Roman" w:cs="Times New Roman"/>
                <w:sz w:val="20"/>
                <w:szCs w:val="20"/>
                <w:lang w:val="de-DE" w:eastAsia="zh-CN"/>
              </w:rPr>
              <w:t>为0；</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制定</w:t>
            </w:r>
            <w:r>
              <w:rPr>
                <w:rFonts w:hint="eastAsia" w:cs="Times New Roman"/>
                <w:sz w:val="20"/>
                <w:szCs w:val="20"/>
                <w:lang w:val="en-US" w:eastAsia="zh-CN"/>
              </w:rPr>
              <w:t>“</w:t>
            </w:r>
            <w:r>
              <w:rPr>
                <w:rFonts w:hint="default" w:ascii="Times New Roman" w:hAnsi="Times New Roman" w:cs="Times New Roman"/>
                <w:sz w:val="20"/>
                <w:szCs w:val="20"/>
                <w:lang w:val="en-US" w:eastAsia="zh-CN"/>
              </w:rPr>
              <w:t>环境目标、指标/职业健康安全目标与管理方案及实施情况一览表</w:t>
            </w:r>
            <w:r>
              <w:rPr>
                <w:rFonts w:hint="eastAsia" w:cs="Times New Roman"/>
                <w:sz w:val="20"/>
                <w:szCs w:val="20"/>
                <w:lang w:val="en-US" w:eastAsia="zh-CN"/>
              </w:rPr>
              <w:t>”</w:t>
            </w:r>
            <w:r>
              <w:rPr>
                <w:rFonts w:hint="default" w:ascii="Times New Roman" w:hAnsi="Times New Roman" w:cs="Times New Roman"/>
                <w:sz w:val="20"/>
                <w:szCs w:val="20"/>
                <w:lang w:val="en-US" w:eastAsia="zh-CN"/>
              </w:rPr>
              <w:t>，对重要环境因素和重大危险源进行了控制策划；</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通过“质量\环境\职业健康安全目标分解考核表”，对目标进行分解到各部门对目标实现进行了策划；</w:t>
            </w:r>
          </w:p>
          <w:p>
            <w:pPr>
              <w:spacing w:line="360" w:lineRule="auto"/>
              <w:ind w:firstLine="400" w:firstLineChars="200"/>
              <w:rPr>
                <w:rFonts w:ascii="宋体" w:hAnsi="宋体"/>
                <w:b/>
                <w:color w:val="000000" w:themeColor="text1"/>
                <w:sz w:val="20"/>
                <w:szCs w:val="20"/>
              </w:rPr>
            </w:pPr>
            <w:r>
              <w:rPr>
                <w:rFonts w:hint="default" w:ascii="Times New Roman" w:hAnsi="Times New Roman" w:cs="Times New Roman"/>
                <w:sz w:val="20"/>
                <w:szCs w:val="20"/>
                <w:lang w:val="en-US" w:eastAsia="zh-CN"/>
              </w:rPr>
              <w:t>显示2021年1-</w:t>
            </w:r>
            <w:r>
              <w:rPr>
                <w:rFonts w:hint="eastAsia" w:ascii="Times New Roman" w:hAnsi="Times New Roman" w:cs="Times New Roman"/>
                <w:sz w:val="20"/>
                <w:szCs w:val="20"/>
                <w:lang w:val="en-US" w:eastAsia="zh-CN"/>
              </w:rPr>
              <w:t>6</w:t>
            </w:r>
            <w:r>
              <w:rPr>
                <w:rFonts w:hint="default" w:ascii="Times New Roman" w:hAnsi="Times New Roman" w:cs="Times New Roman"/>
                <w:sz w:val="20"/>
                <w:szCs w:val="20"/>
                <w:lang w:val="en-US" w:eastAsia="zh-CN"/>
              </w:rPr>
              <w:t>月对目标完成情况进行了季度考核，均完成。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60" w:lineRule="auto"/>
              <w:ind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质量、环境、职业健康安全管理体系于2020年</w:t>
            </w:r>
            <w:r>
              <w:rPr>
                <w:rFonts w:hint="eastAsia" w:ascii="Times New Roman" w:hAnsi="Times New Roman" w:cs="Times New Roman"/>
                <w:sz w:val="20"/>
                <w:szCs w:val="20"/>
                <w:lang w:val="en-US" w:eastAsia="zh-CN"/>
              </w:rPr>
              <w:t>12</w:t>
            </w:r>
            <w:r>
              <w:rPr>
                <w:rFonts w:hint="default" w:ascii="Times New Roman" w:hAnsi="Times New Roman" w:cs="Times New Roman"/>
                <w:sz w:val="20"/>
                <w:szCs w:val="20"/>
              </w:rPr>
              <w:t>月10日建立并正式实施。</w:t>
            </w:r>
          </w:p>
          <w:p>
            <w:pPr>
              <w:spacing w:line="360" w:lineRule="auto"/>
              <w:ind w:firstLine="400" w:firstLineChars="200"/>
              <w:rPr>
                <w:rFonts w:hint="eastAsia" w:ascii="Times New Roman" w:hAnsi="Times New Roman" w:eastAsia="宋体" w:cs="Times New Roman"/>
                <w:sz w:val="20"/>
                <w:szCs w:val="20"/>
                <w:lang w:eastAsia="zh-CN"/>
              </w:rPr>
            </w:pPr>
            <w:r>
              <w:rPr>
                <w:rFonts w:hint="default" w:ascii="Times New Roman" w:hAnsi="Times New Roman" w:cs="Times New Roman"/>
                <w:sz w:val="20"/>
                <w:szCs w:val="20"/>
                <w:lang w:val="en-US" w:eastAsia="zh-CN"/>
              </w:rPr>
              <w:t>管理手册——A/0，</w:t>
            </w:r>
            <w:r>
              <w:rPr>
                <w:rFonts w:hint="default" w:ascii="Times New Roman" w:hAnsi="Times New Roman" w:cs="Times New Roman"/>
                <w:sz w:val="20"/>
                <w:szCs w:val="20"/>
              </w:rPr>
              <w:t>202</w:t>
            </w:r>
            <w:r>
              <w:rPr>
                <w:rFonts w:hint="eastAsia" w:ascii="Times New Roman" w:hAnsi="Times New Roman" w:cs="Times New Roman"/>
                <w:sz w:val="20"/>
                <w:szCs w:val="20"/>
                <w:lang w:val="en-US" w:eastAsia="zh-CN"/>
              </w:rPr>
              <w:t>0</w:t>
            </w:r>
            <w:r>
              <w:rPr>
                <w:rFonts w:hint="default" w:ascii="Times New Roman" w:hAnsi="Times New Roman" w:cs="Times New Roman"/>
                <w:sz w:val="20"/>
                <w:szCs w:val="20"/>
              </w:rPr>
              <w:t>年</w:t>
            </w:r>
            <w:r>
              <w:rPr>
                <w:rFonts w:hint="eastAsia" w:ascii="Times New Roman" w:hAnsi="Times New Roman" w:cs="Times New Roman"/>
                <w:sz w:val="20"/>
                <w:szCs w:val="20"/>
                <w:lang w:val="en-US" w:eastAsia="zh-CN"/>
              </w:rPr>
              <w:t>12</w:t>
            </w:r>
            <w:r>
              <w:rPr>
                <w:rFonts w:hint="default" w:ascii="Times New Roman" w:hAnsi="Times New Roman" w:cs="Times New Roman"/>
                <w:sz w:val="20"/>
                <w:szCs w:val="20"/>
              </w:rPr>
              <w:t>月10日</w:t>
            </w:r>
            <w:r>
              <w:rPr>
                <w:rFonts w:hint="eastAsia" w:cs="Times New Roman"/>
                <w:sz w:val="20"/>
                <w:szCs w:val="20"/>
                <w:lang w:eastAsia="zh-CN"/>
              </w:rPr>
              <w:t>；</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程序文件——A/0，</w:t>
            </w:r>
            <w:r>
              <w:rPr>
                <w:rFonts w:hint="default" w:ascii="Times New Roman" w:hAnsi="Times New Roman" w:cs="Times New Roman"/>
                <w:sz w:val="20"/>
                <w:szCs w:val="20"/>
              </w:rPr>
              <w:t>202</w:t>
            </w:r>
            <w:r>
              <w:rPr>
                <w:rFonts w:hint="eastAsia" w:ascii="Times New Roman" w:hAnsi="Times New Roman" w:cs="Times New Roman"/>
                <w:sz w:val="20"/>
                <w:szCs w:val="20"/>
                <w:lang w:val="en-US" w:eastAsia="zh-CN"/>
              </w:rPr>
              <w:t>0</w:t>
            </w:r>
            <w:r>
              <w:rPr>
                <w:rFonts w:hint="default" w:ascii="Times New Roman" w:hAnsi="Times New Roman" w:cs="Times New Roman"/>
                <w:sz w:val="20"/>
                <w:szCs w:val="20"/>
              </w:rPr>
              <w:t>年</w:t>
            </w:r>
            <w:r>
              <w:rPr>
                <w:rFonts w:hint="eastAsia" w:ascii="Times New Roman" w:hAnsi="Times New Roman" w:cs="Times New Roman"/>
                <w:sz w:val="20"/>
                <w:szCs w:val="20"/>
                <w:lang w:val="en-US" w:eastAsia="zh-CN"/>
              </w:rPr>
              <w:t>12</w:t>
            </w:r>
            <w:r>
              <w:rPr>
                <w:rFonts w:hint="default" w:ascii="Times New Roman" w:hAnsi="Times New Roman" w:cs="Times New Roman"/>
                <w:sz w:val="20"/>
                <w:szCs w:val="20"/>
              </w:rPr>
              <w:t>月10日</w:t>
            </w:r>
            <w:r>
              <w:rPr>
                <w:rFonts w:hint="default" w:ascii="Times New Roman" w:hAnsi="Times New Roman" w:cs="Times New Roman"/>
                <w:sz w:val="20"/>
                <w:szCs w:val="20"/>
                <w:lang w:eastAsia="zh-CN"/>
              </w:rPr>
              <w:t>，</w:t>
            </w:r>
            <w:r>
              <w:rPr>
                <w:rFonts w:hint="default" w:ascii="Times New Roman" w:hAnsi="Times New Roman" w:cs="Times New Roman"/>
                <w:sz w:val="20"/>
                <w:szCs w:val="20"/>
                <w:lang w:val="en-US" w:eastAsia="zh-CN"/>
              </w:rPr>
              <w:t>27个；</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建立有外来文件清单，收集相关标准和法律，包括</w:t>
            </w:r>
            <w:r>
              <w:rPr>
                <w:rFonts w:hint="eastAsia"/>
                <w:sz w:val="20"/>
                <w:szCs w:val="20"/>
              </w:rPr>
              <w:t>电子计算机场地通用技术规范GBT2887-2011</w:t>
            </w:r>
            <w:r>
              <w:rPr>
                <w:rFonts w:hint="eastAsia"/>
                <w:sz w:val="20"/>
                <w:szCs w:val="20"/>
                <w:lang w:eastAsia="zh-CN"/>
              </w:rPr>
              <w:t>、</w:t>
            </w:r>
            <w:r>
              <w:rPr>
                <w:rFonts w:hint="eastAsia"/>
                <w:sz w:val="20"/>
                <w:szCs w:val="20"/>
              </w:rPr>
              <w:t>电子信息系统机房设计规范GB50174-2008</w:t>
            </w:r>
            <w:r>
              <w:rPr>
                <w:rFonts w:hint="eastAsia"/>
                <w:sz w:val="20"/>
                <w:szCs w:val="20"/>
                <w:lang w:eastAsia="zh-CN"/>
              </w:rPr>
              <w:t>、</w:t>
            </w:r>
            <w:r>
              <w:rPr>
                <w:rFonts w:hint="eastAsia" w:ascii="Times New Roman" w:hAnsi="Times New Roman" w:eastAsia="宋体" w:cs="Times New Roman"/>
                <w:sz w:val="20"/>
                <w:szCs w:val="20"/>
                <w:lang w:val="en-US" w:eastAsia="zh-CN"/>
              </w:rPr>
              <w:t>电子收费专用短信通信第1部分：物理层</w:t>
            </w:r>
            <w:r>
              <w:rPr>
                <w:rFonts w:hint="eastAsia" w:ascii="Arial" w:hAnsi="Arial" w:cs="Arial"/>
                <w:color w:val="333333"/>
                <w:sz w:val="20"/>
                <w:szCs w:val="20"/>
                <w:lang w:val="en-US" w:eastAsia="zh-CN"/>
              </w:rPr>
              <w:t>GB/T20851.1-2019</w:t>
            </w:r>
            <w:r>
              <w:rPr>
                <w:rFonts w:hint="default" w:ascii="Times New Roman" w:hAnsi="Times New Roman" w:cs="Times New Roman"/>
                <w:sz w:val="20"/>
                <w:szCs w:val="20"/>
                <w:lang w:val="en-US" w:eastAsia="zh-CN"/>
              </w:rPr>
              <w:t>等</w:t>
            </w:r>
            <w:r>
              <w:rPr>
                <w:rFonts w:hint="eastAsia" w:ascii="Times New Roman" w:hAnsi="Times New Roman" w:cs="Times New Roman"/>
                <w:sz w:val="20"/>
                <w:szCs w:val="20"/>
                <w:lang w:val="en-US" w:eastAsia="zh-CN"/>
              </w:rPr>
              <w:t>12</w:t>
            </w:r>
            <w:r>
              <w:rPr>
                <w:rFonts w:hint="default" w:ascii="Times New Roman" w:hAnsi="Times New Roman" w:cs="Times New Roman"/>
                <w:sz w:val="20"/>
                <w:szCs w:val="20"/>
                <w:lang w:val="en-US" w:eastAsia="zh-CN"/>
              </w:rPr>
              <w:t>项；</w:t>
            </w:r>
          </w:p>
          <w:p>
            <w:pPr>
              <w:spacing w:line="360" w:lineRule="auto"/>
              <w:ind w:firstLine="400" w:firstLineChars="200"/>
              <w:rPr>
                <w:rFonts w:ascii="宋体" w:hAnsi="宋体"/>
                <w:b/>
                <w:color w:val="000000" w:themeColor="text1"/>
                <w:sz w:val="20"/>
                <w:szCs w:val="20"/>
              </w:rPr>
            </w:pPr>
            <w:r>
              <w:rPr>
                <w:rFonts w:hint="default" w:ascii="Times New Roman" w:hAnsi="Times New Roman" w:cs="Times New Roman"/>
                <w:sz w:val="20"/>
                <w:szCs w:val="20"/>
                <w:lang w:val="en-US" w:eastAsia="zh-CN"/>
              </w:rPr>
              <w:t>建立环境、职业健康安全法律法规和其他要求清单，共收集</w:t>
            </w:r>
            <w:r>
              <w:rPr>
                <w:rFonts w:hint="eastAsia" w:ascii="Times New Roman" w:hAnsi="Times New Roman" w:cs="Times New Roman"/>
                <w:sz w:val="20"/>
                <w:szCs w:val="20"/>
                <w:lang w:val="en-US" w:eastAsia="zh-CN"/>
              </w:rPr>
              <w:t>86</w:t>
            </w:r>
            <w:r>
              <w:rPr>
                <w:rFonts w:hint="default" w:ascii="Times New Roman" w:hAnsi="Times New Roman" w:cs="Times New Roman"/>
                <w:sz w:val="20"/>
                <w:szCs w:val="20"/>
                <w:lang w:val="en-US" w:eastAsia="zh-CN"/>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b/>
                <w:color w:val="000000" w:themeColor="text1"/>
                <w:sz w:val="20"/>
                <w:szCs w:val="20"/>
              </w:rPr>
              <w:br w:type="page"/>
            </w:r>
            <w:r>
              <w:rPr>
                <w:rFonts w:hint="eastAsia" w:ascii="宋体" w:hAnsi="宋体"/>
                <w:b/>
                <w:color w:val="000000" w:themeColor="text1"/>
                <w:sz w:val="20"/>
                <w:szCs w:val="20"/>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ascii="宋体" w:hAnsi="宋体"/>
                <w:b/>
                <w:color w:val="000000" w:themeColor="text1"/>
                <w:sz w:val="20"/>
                <w:szCs w:val="20"/>
              </w:rPr>
            </w:pPr>
            <w:r>
              <w:rPr>
                <w:rFonts w:hint="default" w:ascii="Times New Roman" w:hAnsi="Times New Roman" w:cs="Times New Roman"/>
                <w:color w:val="auto"/>
                <w:sz w:val="20"/>
                <w:szCs w:val="20"/>
                <w:highlight w:val="none"/>
                <w:lang w:val="en-US" w:eastAsia="zh-CN"/>
              </w:rPr>
              <w:t>公司现有人员</w:t>
            </w:r>
            <w:r>
              <w:rPr>
                <w:rFonts w:hint="eastAsia" w:ascii="Times New Roman" w:hAnsi="Times New Roman" w:cs="Times New Roman"/>
                <w:b/>
                <w:sz w:val="20"/>
                <w:szCs w:val="20"/>
                <w:highlight w:val="none"/>
                <w:lang w:val="en-US" w:eastAsia="zh-CN"/>
              </w:rPr>
              <w:t>76</w:t>
            </w:r>
            <w:r>
              <w:rPr>
                <w:rFonts w:hint="default" w:ascii="Times New Roman" w:hAnsi="Times New Roman" w:cs="Times New Roman"/>
                <w:color w:val="auto"/>
                <w:sz w:val="20"/>
                <w:szCs w:val="20"/>
                <w:highlight w:val="none"/>
                <w:lang w:val="en-US" w:eastAsia="zh-CN"/>
              </w:rPr>
              <w:t>人，</w:t>
            </w:r>
            <w:r>
              <w:rPr>
                <w:rFonts w:hint="default" w:ascii="Times New Roman" w:hAnsi="Times New Roman" w:cs="Times New Roman"/>
                <w:sz w:val="20"/>
                <w:szCs w:val="20"/>
                <w:highlight w:val="none"/>
                <w:lang w:val="en-US" w:eastAsia="zh-CN"/>
              </w:rPr>
              <w:t>特种作业人员持证上岗</w:t>
            </w:r>
            <w:r>
              <w:rPr>
                <w:rFonts w:hint="default" w:ascii="Times New Roman" w:hAnsi="Times New Roman" w:cs="Times New Roman"/>
                <w:sz w:val="20"/>
                <w:szCs w:val="20"/>
                <w:highlight w:val="none"/>
                <w:lang w:val="zh-CN"/>
              </w:rPr>
              <w:t>；</w:t>
            </w:r>
            <w:r>
              <w:rPr>
                <w:rFonts w:hint="default" w:ascii="Times New Roman" w:hAnsi="Times New Roman" w:cs="Times New Roman"/>
                <w:color w:val="auto"/>
                <w:spacing w:val="-6"/>
                <w:sz w:val="20"/>
                <w:szCs w:val="20"/>
                <w:highlight w:val="none"/>
                <w:lang w:val="en-US" w:eastAsia="zh-CN"/>
              </w:rPr>
              <w:t>管理人员、技术人员能</w:t>
            </w:r>
            <w:r>
              <w:rPr>
                <w:rFonts w:hint="default" w:ascii="Times New Roman" w:hAnsi="Times New Roman" w:cs="Times New Roman"/>
                <w:color w:val="auto"/>
                <w:sz w:val="20"/>
                <w:szCs w:val="20"/>
                <w:highlight w:val="none"/>
                <w:lang w:val="en-US" w:eastAsia="zh-CN"/>
              </w:rPr>
              <w:t>够有效实施管理体系，并运行和控制其过程。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0"/>
                <w:szCs w:val="20"/>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ind w:firstLine="400" w:firstLineChars="200"/>
              <w:rPr>
                <w:rFonts w:ascii="宋体" w:hAnsi="宋体"/>
                <w:b/>
                <w:color w:val="000000" w:themeColor="text1"/>
                <w:sz w:val="20"/>
                <w:szCs w:val="20"/>
              </w:rPr>
            </w:pPr>
            <w:r>
              <w:rPr>
                <w:rFonts w:hint="default" w:ascii="Times New Roman" w:hAnsi="Times New Roman" w:cs="Times New Roman"/>
                <w:sz w:val="20"/>
                <w:szCs w:val="20"/>
                <w:lang w:val="zh-CN" w:eastAsia="zh-CN"/>
              </w:rPr>
              <w:t>主要设备有：</w:t>
            </w:r>
            <w:r>
              <w:rPr>
                <w:rFonts w:hint="eastAsia" w:ascii="宋体" w:hAnsi="宋体" w:cs="宋体"/>
                <w:sz w:val="20"/>
                <w:szCs w:val="20"/>
                <w:lang w:val="en-US" w:eastAsia="zh-CN"/>
              </w:rPr>
              <w:t>桌面发行器、</w:t>
            </w:r>
            <w:r>
              <w:rPr>
                <w:rFonts w:hint="eastAsia" w:ascii="宋体" w:hAnsi="宋体" w:cs="宋体"/>
                <w:color w:val="000000"/>
                <w:sz w:val="20"/>
                <w:szCs w:val="20"/>
                <w:lang w:val="en-US" w:eastAsia="zh-CN"/>
              </w:rPr>
              <w:t>平板发行器、电脑、打印机</w:t>
            </w:r>
            <w:r>
              <w:rPr>
                <w:rFonts w:hint="default" w:ascii="Times New Roman" w:hAnsi="Times New Roman" w:cs="Times New Roman"/>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0"/>
                <w:szCs w:val="20"/>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ind w:firstLine="400" w:firstLineChars="200"/>
              <w:rPr>
                <w:rFonts w:ascii="宋体" w:hAnsi="宋体"/>
                <w:b/>
                <w:color w:val="000000" w:themeColor="text1"/>
                <w:sz w:val="20"/>
                <w:szCs w:val="20"/>
              </w:rPr>
            </w:pPr>
            <w:r>
              <w:rPr>
                <w:rFonts w:hint="eastAsia" w:ascii="Times New Roman" w:hAnsi="Times New Roman" w:cs="Times New Roman"/>
                <w:sz w:val="20"/>
                <w:szCs w:val="20"/>
                <w:lang w:val="en-US" w:eastAsia="zh-CN"/>
              </w:rPr>
              <w:t>办公环境面积大约2000平方米，工作场所布局合理，座椅和办公桌符合人体工程学要求，员工有自我防护意识，工间能适当走动、休息；各研发技术人员坐姿正确，避免过度疲劳；电脑显示器调整到保护视力的颜色；配置有适量的绿植，办公环境光照、温度适宜，通风良好，办公场所物品摆放整齐、有序，未见随意乱放私人物品的情况；满足办公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720" w:type="dxa"/>
            <w:vMerge w:val="continue"/>
            <w:textDirection w:val="tbRlV"/>
            <w:vAlign w:val="center"/>
          </w:tcPr>
          <w:p>
            <w:pPr>
              <w:spacing w:line="240" w:lineRule="exact"/>
              <w:ind w:left="113" w:right="113"/>
              <w:jc w:val="center"/>
              <w:rPr>
                <w:b/>
                <w:color w:val="000000" w:themeColor="text1"/>
                <w:sz w:val="20"/>
                <w:szCs w:val="20"/>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pStyle w:val="2"/>
              <w:spacing w:line="360" w:lineRule="auto"/>
              <w:rPr>
                <w:rFonts w:hint="eastAsia"/>
                <w:sz w:val="20"/>
                <w:szCs w:val="20"/>
                <w:highlight w:val="none"/>
                <w:lang w:val="en-US" w:eastAsia="zh-CN"/>
              </w:rPr>
            </w:pPr>
            <w:r>
              <w:rPr>
                <w:rFonts w:hint="eastAsia"/>
                <w:sz w:val="20"/>
                <w:szCs w:val="20"/>
                <w:highlight w:val="none"/>
                <w:lang w:val="en-US" w:eastAsia="zh-CN"/>
              </w:rPr>
              <w:t>公司主要是监视设备，会定期进行检查，确保使用正常，测量装置主要是调查表和万用表等，调查表正常使用，无需校准和检定；</w:t>
            </w:r>
          </w:p>
          <w:p>
            <w:pPr>
              <w:pStyle w:val="2"/>
              <w:spacing w:line="360" w:lineRule="auto"/>
              <w:rPr>
                <w:rFonts w:hint="eastAsia" w:ascii="宋体" w:hAnsi="宋体" w:eastAsia="宋体"/>
                <w:b/>
                <w:color w:val="000000" w:themeColor="text1"/>
                <w:sz w:val="20"/>
                <w:szCs w:val="20"/>
                <w:lang w:val="en-US" w:eastAsia="zh-CN"/>
              </w:rPr>
            </w:pPr>
            <w:r>
              <w:rPr>
                <w:rFonts w:hint="eastAsia"/>
                <w:sz w:val="20"/>
                <w:szCs w:val="20"/>
                <w:highlight w:val="none"/>
                <w:lang w:val="en-US" w:eastAsia="zh-CN"/>
              </w:rPr>
              <w:t>提供“校准证书”，江西西平计量检测有限公司出具，2021.7.9，结论：所校准项目符合相关技术要求。</w:t>
            </w:r>
            <w:r>
              <w:rPr>
                <w:rFonts w:hint="eastAsia" w:ascii="宋体" w:hAnsi="宋体"/>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0"/>
                <w:szCs w:val="20"/>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公司各部门按照职责从内外部各种渠道获得与其职责相关所需的知识，包括操作规程、管理技巧与经验、失败和事故的案例分析、科研成果、商标等；把知识形成各种规章制度用于指导公司的日常工作和管理，包括体系文件、支持性文件、各种记录表单。</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从内部来源获取的有：多年的工作经验、教训、内部的知识产权等；</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外部来源获取有：标杆对比、行业会议、客户技术要求、咨询老师传授的体系知识及所实施的内审员的培训；顾客方提供的资料等。</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保持有</w:t>
            </w:r>
            <w:r>
              <w:rPr>
                <w:rFonts w:hint="eastAsia" w:ascii="Times New Roman" w:hAnsi="Times New Roman" w:cs="Times New Roman"/>
                <w:color w:val="auto"/>
                <w:sz w:val="20"/>
                <w:szCs w:val="20"/>
                <w:highlight w:val="none"/>
                <w:lang w:val="en-US" w:eastAsia="zh-CN"/>
              </w:rPr>
              <w:t>软件著作权证书13</w:t>
            </w:r>
            <w:r>
              <w:rPr>
                <w:rFonts w:hint="default" w:ascii="Times New Roman" w:hAnsi="Times New Roman" w:cs="Times New Roman"/>
                <w:color w:val="auto"/>
                <w:sz w:val="20"/>
                <w:szCs w:val="20"/>
                <w:highlight w:val="none"/>
                <w:lang w:val="en-US" w:eastAsia="zh-CN"/>
              </w:rPr>
              <w:t>个；</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000000" w:themeColor="text1"/>
                <w:sz w:val="20"/>
                <w:szCs w:val="20"/>
              </w:rPr>
            </w:pPr>
            <w:r>
              <w:rPr>
                <w:rFonts w:hint="default" w:ascii="Times New Roman" w:hAnsi="Times New Roman" w:cs="Times New Roman"/>
                <w:color w:val="auto"/>
                <w:sz w:val="20"/>
                <w:szCs w:val="20"/>
                <w:highlight w:val="none"/>
                <w:lang w:val="en-US" w:eastAsia="zh-CN"/>
              </w:rPr>
              <w:t>在应对变化的需求和趋势时，相关部门考虑现有的知识，确定如何获取更多的必要的额外知识，并根据变化的情况及时更新。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0"/>
                <w:szCs w:val="20"/>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360" w:lineRule="auto"/>
              <w:ind w:firstLine="400" w:firstLineChars="200"/>
              <w:rPr>
                <w:rFonts w:hint="eastAsia" w:ascii="宋体" w:hAnsi="宋体" w:eastAsia="宋体"/>
                <w:b/>
                <w:color w:val="000000" w:themeColor="text1"/>
                <w:sz w:val="20"/>
                <w:szCs w:val="20"/>
                <w:lang w:val="en-US" w:eastAsia="zh-CN"/>
              </w:rPr>
            </w:pPr>
            <w:r>
              <w:rPr>
                <w:rFonts w:hint="default" w:ascii="Times New Roman" w:hAnsi="Times New Roman" w:cs="Times New Roman"/>
                <w:sz w:val="20"/>
                <w:szCs w:val="20"/>
                <w:lang w:eastAsia="zh-CN"/>
              </w:rPr>
              <w:t>主要安环设备：消防器材、垃圾桶等；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20" w:type="dxa"/>
            <w:vMerge w:val="continue"/>
            <w:textDirection w:val="tbRlV"/>
            <w:vAlign w:val="center"/>
          </w:tcPr>
          <w:p>
            <w:pPr>
              <w:spacing w:line="240" w:lineRule="exact"/>
              <w:ind w:left="113" w:right="113"/>
              <w:jc w:val="center"/>
              <w:rPr>
                <w:b/>
                <w:color w:val="000000" w:themeColor="text1"/>
                <w:sz w:val="20"/>
                <w:szCs w:val="20"/>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360" w:lineRule="auto"/>
              <w:ind w:firstLine="400" w:firstLineChars="200"/>
              <w:rPr>
                <w:rFonts w:hint="eastAsia" w:ascii="宋体" w:hAnsi="宋体" w:eastAsia="宋体"/>
                <w:b/>
                <w:color w:val="000000" w:themeColor="text1"/>
                <w:sz w:val="20"/>
                <w:szCs w:val="20"/>
                <w:lang w:val="en-US" w:eastAsia="zh-CN"/>
              </w:rPr>
            </w:pPr>
            <w:r>
              <w:rPr>
                <w:rFonts w:hint="default" w:ascii="Times New Roman" w:hAnsi="Times New Roman" w:cs="Times New Roman"/>
                <w:sz w:val="20"/>
                <w:szCs w:val="20"/>
                <w:lang w:eastAsia="zh-CN"/>
              </w:rPr>
              <w:t>主要安环设备：消防器材、垃圾桶等；</w:t>
            </w:r>
            <w:r>
              <w:rPr>
                <w:rFonts w:hint="eastAsia" w:ascii="宋体" w:hAnsi="宋体"/>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firstLine="400" w:firstLineChars="200"/>
              <w:rPr>
                <w:rFonts w:hint="eastAsia" w:eastAsia="宋体"/>
                <w:b/>
                <w:color w:val="000000" w:themeColor="text1"/>
                <w:sz w:val="20"/>
                <w:szCs w:val="20"/>
                <w:lang w:val="en-US" w:eastAsia="zh-CN"/>
              </w:rPr>
            </w:pPr>
            <w:r>
              <w:rPr>
                <w:rFonts w:hint="eastAsia" w:ascii="Times New Roman" w:hAnsi="Times New Roman" w:cs="Times New Roman" w:eastAsiaTheme="minorEastAsia"/>
                <w:sz w:val="20"/>
                <w:szCs w:val="20"/>
                <w:lang w:val="en-US" w:eastAsia="zh-CN"/>
              </w:rPr>
              <w:t>方针符合组织的宗旨，形成文件传达到全体员工，确保得到有效控制，使全体员工正确理解并坚决执行，且应定期对其适宜性进行评审。</w:t>
            </w: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360" w:lineRule="auto"/>
              <w:rPr>
                <w:rFonts w:hint="eastAsia" w:ascii="Times New Roman" w:hAnsi="Times New Roman" w:cs="Times New Roman" w:eastAsiaTheme="minorEastAsia"/>
                <w:b w:val="0"/>
                <w:kern w:val="2"/>
                <w:sz w:val="20"/>
                <w:szCs w:val="20"/>
                <w:lang w:val="en-US" w:eastAsia="zh-CN" w:bidi="ar-SA"/>
              </w:rPr>
            </w:pPr>
            <w:r>
              <w:rPr>
                <w:rFonts w:hint="eastAsia" w:ascii="Times New Roman" w:hAnsi="Times New Roman" w:cs="Times New Roman" w:eastAsiaTheme="minorEastAsia"/>
                <w:b w:val="0"/>
                <w:kern w:val="2"/>
                <w:sz w:val="20"/>
                <w:szCs w:val="20"/>
                <w:lang w:val="en-US" w:eastAsia="zh-CN" w:bidi="ar-SA"/>
              </w:rPr>
              <w:t>内部沟通的情况：内部沟通方式：借助于会议、电话、口头交流等方式使全体员工达到沟通和理解</w:t>
            </w:r>
          </w:p>
          <w:p>
            <w:pPr>
              <w:spacing w:line="360" w:lineRule="auto"/>
              <w:ind w:left="1" w:firstLine="400" w:firstLineChars="200"/>
              <w:rPr>
                <w:rFonts w:hint="eastAsia" w:ascii="Times New Roman" w:hAnsi="Times New Roman" w:cs="Times New Roman" w:eastAsiaTheme="minorEastAsia"/>
                <w:b w:val="0"/>
                <w:kern w:val="2"/>
                <w:sz w:val="20"/>
                <w:szCs w:val="20"/>
                <w:lang w:val="en-US" w:eastAsia="zh-CN" w:bidi="ar-SA"/>
              </w:rPr>
            </w:pPr>
            <w:r>
              <w:rPr>
                <w:rFonts w:hint="eastAsia" w:ascii="Times New Roman" w:hAnsi="Times New Roman" w:cs="Times New Roman" w:eastAsiaTheme="minorEastAsia"/>
                <w:b w:val="0"/>
                <w:kern w:val="2"/>
                <w:sz w:val="20"/>
                <w:szCs w:val="20"/>
                <w:lang w:val="en-US" w:eastAsia="zh-CN" w:bidi="ar-SA"/>
              </w:rPr>
              <w:t xml:space="preserve">            内部沟通的效果：有效</w:t>
            </w:r>
          </w:p>
          <w:p>
            <w:pPr>
              <w:spacing w:line="360" w:lineRule="auto"/>
              <w:rPr>
                <w:rFonts w:hint="eastAsia" w:ascii="Times New Roman" w:hAnsi="Times New Roman" w:cs="Times New Roman" w:eastAsiaTheme="minorEastAsia"/>
                <w:b w:val="0"/>
                <w:kern w:val="2"/>
                <w:sz w:val="20"/>
                <w:szCs w:val="20"/>
                <w:lang w:val="en-US" w:eastAsia="zh-CN" w:bidi="ar-SA"/>
              </w:rPr>
            </w:pPr>
            <w:r>
              <w:rPr>
                <w:rFonts w:hint="eastAsia" w:ascii="Times New Roman" w:hAnsi="Times New Roman" w:cs="Times New Roman" w:eastAsiaTheme="minorEastAsia"/>
                <w:b w:val="0"/>
                <w:kern w:val="2"/>
                <w:sz w:val="20"/>
                <w:szCs w:val="20"/>
                <w:lang w:val="en-US" w:eastAsia="zh-CN" w:bidi="ar-SA"/>
              </w:rPr>
              <w:t>组织对外联络，关注顾客的感受情况（QMS）：顾客满意度评价、合同等</w:t>
            </w:r>
          </w:p>
          <w:p>
            <w:pPr>
              <w:spacing w:line="360" w:lineRule="auto"/>
              <w:rPr>
                <w:rFonts w:hint="eastAsia" w:ascii="Times New Roman" w:hAnsi="Times New Roman" w:cs="Times New Roman" w:eastAsiaTheme="minorEastAsia"/>
                <w:b w:val="0"/>
                <w:kern w:val="2"/>
                <w:sz w:val="20"/>
                <w:szCs w:val="20"/>
                <w:lang w:val="en-US" w:eastAsia="zh-CN" w:bidi="ar-SA"/>
              </w:rPr>
            </w:pPr>
            <w:r>
              <w:rPr>
                <w:rFonts w:hint="eastAsia" w:ascii="Times New Roman" w:hAnsi="Times New Roman" w:cs="Times New Roman" w:eastAsiaTheme="minorEastAsia"/>
                <w:b w:val="0"/>
                <w:kern w:val="2"/>
                <w:sz w:val="20"/>
                <w:szCs w:val="20"/>
                <w:lang w:val="en-US" w:eastAsia="zh-CN" w:bidi="ar-SA"/>
              </w:rPr>
              <w:t>外部信息的接收、成文并答复的情况（E、S填写）：按建立的信息交流、协商和沟通控制程序及公司合规义务的要求，就三标一体化管理体系的相关信息进行外部信息交流，与进入工作场所的承包方和其他访问者进行沟通；接收、记录和回应来自外部相关方的相关沟通。</w:t>
            </w:r>
          </w:p>
          <w:p>
            <w:pPr>
              <w:spacing w:line="360" w:lineRule="auto"/>
              <w:rPr>
                <w:rFonts w:hint="eastAsia" w:ascii="Times New Roman" w:hAnsi="Times New Roman" w:cs="Times New Roman" w:eastAsiaTheme="minorEastAsia"/>
                <w:b w:val="0"/>
                <w:kern w:val="2"/>
                <w:sz w:val="20"/>
                <w:szCs w:val="20"/>
                <w:lang w:val="en-US" w:eastAsia="zh-CN" w:bidi="ar-SA"/>
              </w:rPr>
            </w:pPr>
            <w:r>
              <w:rPr>
                <w:rFonts w:hint="eastAsia" w:ascii="Times New Roman" w:hAnsi="Times New Roman" w:cs="Times New Roman" w:eastAsiaTheme="minorEastAsia"/>
                <w:b w:val="0"/>
                <w:kern w:val="2"/>
                <w:sz w:val="20"/>
                <w:szCs w:val="20"/>
                <w:lang w:val="en-US" w:eastAsia="zh-CN" w:bidi="ar-SA"/>
              </w:rPr>
              <w:t>重要环境因素信息对外交流情况（EMS填写）：相关方告知书、张贴警示标记</w:t>
            </w:r>
          </w:p>
          <w:p>
            <w:pPr>
              <w:pStyle w:val="3"/>
              <w:rPr>
                <w:rFonts w:hint="eastAsia"/>
                <w:b w:val="0"/>
                <w:bCs/>
                <w:sz w:val="20"/>
                <w:szCs w:val="20"/>
                <w:lang w:val="en-US" w:eastAsia="zh-CN"/>
              </w:rPr>
            </w:pPr>
          </w:p>
          <w:p>
            <w:pPr>
              <w:spacing w:line="360" w:lineRule="auto"/>
              <w:rPr>
                <w:rFonts w:hint="eastAsia" w:ascii="Times New Roman" w:hAnsi="Times New Roman" w:cs="Times New Roman" w:eastAsiaTheme="minorEastAsia"/>
                <w:b w:val="0"/>
                <w:kern w:val="2"/>
                <w:sz w:val="20"/>
                <w:szCs w:val="20"/>
                <w:lang w:val="en-US" w:eastAsia="zh-CN" w:bidi="ar-SA"/>
              </w:rPr>
            </w:pPr>
            <w:r>
              <w:rPr>
                <w:rFonts w:hint="eastAsia" w:ascii="Times New Roman" w:hAnsi="Times New Roman" w:cs="Times New Roman" w:eastAsiaTheme="minorEastAsia"/>
                <w:b w:val="0"/>
                <w:kern w:val="2"/>
                <w:sz w:val="20"/>
                <w:szCs w:val="20"/>
                <w:lang w:val="en-US" w:eastAsia="zh-CN" w:bidi="ar-SA"/>
              </w:rPr>
              <w:t>OHSMS事务代表协商和交流的情况（OHSMS填写）：确定职业健康安全事务代表是洪荣军，参与公司的职业健康安全事务。相关人员能够适当参与并协商办理公司经营管理及安全事务等工作。</w:t>
            </w:r>
          </w:p>
          <w:p>
            <w:pPr>
              <w:spacing w:line="360" w:lineRule="auto"/>
              <w:rPr>
                <w:rFonts w:ascii="楷体_GB2312" w:eastAsia="楷体_GB2312"/>
                <w:b/>
                <w:color w:val="000000" w:themeColor="text1"/>
                <w:sz w:val="20"/>
                <w:szCs w:val="20"/>
              </w:rPr>
            </w:pPr>
            <w:r>
              <w:rPr>
                <w:rFonts w:hint="eastAsia" w:ascii="Times New Roman" w:hAnsi="Times New Roman" w:cs="Times New Roman" w:eastAsiaTheme="minorEastAsia"/>
                <w:b w:val="0"/>
                <w:kern w:val="2"/>
                <w:sz w:val="20"/>
                <w:szCs w:val="20"/>
                <w:lang w:val="en-US" w:eastAsia="zh-CN" w:bidi="ar-SA"/>
              </w:rPr>
              <w:t>与相关方协商的情况（OHSMS填写）：与相关方就有关职业健康安全事务进行协商，保留相关方告知书。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策划了作业流程：</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客户需求调查分析—初步设计—详细设计—采购硬件设备—软硬件安装调试—交付</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公司按照制定的程序、规程、管理制度等文件对设计过程、开发过程、维护过程、采购过程、销售过程、检验与交付过程、绩效分析、评价与改进等过程实施了过程控制。</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b/>
                <w:color w:val="000000" w:themeColor="text1"/>
                <w:sz w:val="20"/>
                <w:szCs w:val="20"/>
              </w:rPr>
            </w:pPr>
            <w:r>
              <w:rPr>
                <w:rFonts w:hint="eastAsia" w:ascii="Times New Roman" w:hAnsi="Times New Roman" w:eastAsia="宋体" w:cs="Times New Roman"/>
                <w:color w:val="auto"/>
                <w:sz w:val="20"/>
                <w:szCs w:val="20"/>
                <w:highlight w:val="none"/>
                <w:lang w:val="en-US" w:eastAsia="zh-CN"/>
              </w:rPr>
              <w:t>效果明显，未发生质量纠纷。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电子计算机场地通用技术规范 GBT 2887-2011</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电子信息系统机房设计规范 GB50174-2008</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b/>
                <w:color w:val="000000" w:themeColor="text1"/>
                <w:sz w:val="20"/>
                <w:szCs w:val="20"/>
              </w:rPr>
            </w:pPr>
            <w:r>
              <w:rPr>
                <w:rFonts w:hint="eastAsia" w:ascii="Times New Roman" w:hAnsi="Times New Roman" w:eastAsia="宋体" w:cs="Times New Roman"/>
                <w:color w:val="auto"/>
                <w:sz w:val="20"/>
                <w:szCs w:val="20"/>
                <w:highlight w:val="none"/>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 xml:space="preserve">公司建立“不符合、纠正和预防措施控制程序”、“事故调查处理控制程序”，有效文件，无变化。对纠正预防措施识别、评审、验证，事故事件报告、调查、处理等进行了策划。 </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对日常检查和内审、管理评审中提出的不合格项进行了原因分析，并策划纠正措施并实施，对所采取的纠正措施进行验证。</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体系运行以来公司按照体系的要求，通过运行控制、加强培训，以及开展管理评审活动等方式采取预防措施，防止不符合/不合格的发生，不符合得到了有效控制。</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公司成立以来没有发生重大质量事故和投诉处罚，没有发生环境、职业健康安全事件和投诉处罚。</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b/>
                <w:color w:val="000000" w:themeColor="text1"/>
                <w:sz w:val="20"/>
                <w:szCs w:val="20"/>
              </w:rPr>
            </w:pPr>
            <w:r>
              <w:rPr>
                <w:rFonts w:hint="default" w:ascii="Times New Roman" w:hAnsi="Times New Roman" w:cs="Times New Roman"/>
                <w:color w:val="auto"/>
                <w:sz w:val="20"/>
                <w:szCs w:val="20"/>
                <w:highlight w:val="none"/>
                <w:lang w:val="en-US" w:eastAsia="zh-CN"/>
              </w:rPr>
              <w:t>基本符合标准规定要求。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生活废水经市政管网排放；</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办公环境安静，无明显噪声和废气；</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办公垃圾由环卫部门收集处理；</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b/>
                <w:color w:val="000000" w:themeColor="text1"/>
                <w:sz w:val="20"/>
                <w:szCs w:val="20"/>
              </w:rPr>
            </w:pPr>
            <w:r>
              <w:rPr>
                <w:rFonts w:hint="default" w:ascii="Times New Roman" w:hAnsi="Times New Roman" w:eastAsia="宋体" w:cs="Times New Roman"/>
                <w:color w:val="auto"/>
                <w:sz w:val="20"/>
                <w:szCs w:val="20"/>
                <w:highlight w:val="none"/>
                <w:lang w:val="en-US" w:eastAsia="zh-CN"/>
              </w:rPr>
              <w:t>办公用墨盒硒鼓等危废以旧换新；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OHSMS组织对不可接受风险实施控制的结果</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办公室内主要是电的使用，现场查看电路、电源正常，电路布线合理、电气插座完整，未见破损，无乱拉乱接电线、使用超额电气等现象；未见用电不当等安全隐患及不良影响现象。</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对部门员工进行了不定期的交通安全宣传；</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eastAsia="宋体"/>
                <w:b/>
                <w:color w:val="000000" w:themeColor="text1"/>
                <w:sz w:val="20"/>
                <w:szCs w:val="20"/>
                <w:lang w:val="en-US" w:eastAsia="zh-CN"/>
              </w:rPr>
            </w:pPr>
            <w:r>
              <w:rPr>
                <w:rFonts w:hint="default" w:ascii="Times New Roman" w:hAnsi="Times New Roman" w:eastAsia="宋体" w:cs="Times New Roman"/>
                <w:color w:val="auto"/>
                <w:sz w:val="20"/>
                <w:szCs w:val="20"/>
                <w:highlight w:val="none"/>
                <w:lang w:val="en-US" w:eastAsia="zh-CN"/>
              </w:rPr>
              <w:t>查见“相关方告知书”，有效文件，对供方进行了环境和职业健康安全有关事项的沟通。</w:t>
            </w:r>
            <w:r>
              <w:rPr>
                <w:rFonts w:hint="eastAsia" w:ascii="Times New Roman" w:hAnsi="Times New Roman" w:eastAsia="宋体" w:cs="Times New Roman"/>
                <w:color w:val="auto"/>
                <w:sz w:val="20"/>
                <w:szCs w:val="2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查见“应急预案”，编制有火灾应急预案、触电事故应急预案；</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查见“公司应急演练计划”，计划进行火灾应急预案演练、触电应急预案演练；</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查见“应急预案演练记录”，显示2021.6.17，公司组织进行了火灾应急预案演练；记录了演练过程；</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对演练效果进行了总结，针对总结的情况，提出了下一步的工作安排。</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查见“环境安全运行检查记录”，对应急物资有准备和必要的检查；</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b/>
                <w:color w:val="000000" w:themeColor="text1"/>
                <w:spacing w:val="-4"/>
                <w:sz w:val="20"/>
                <w:szCs w:val="20"/>
              </w:rPr>
            </w:pPr>
            <w:r>
              <w:rPr>
                <w:rFonts w:hint="default" w:ascii="Times New Roman" w:hAnsi="Times New Roman" w:eastAsia="宋体" w:cs="Times New Roman"/>
                <w:color w:val="auto"/>
                <w:sz w:val="20"/>
                <w:szCs w:val="20"/>
                <w:highlight w:val="none"/>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公司保持有“监视和测量控制程序”，有效文件，无变化。</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查见“项目服务年度工作总结”，对2020年的维保服务进行了总结，对数据进行了统计，对统计结果进行了分析；</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保留“目标分解考核表”，对目标完成情况进行绩效考核；</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查见“环境安全运行检查记录”，抽见2021.1-5，对固废管理、能源消耗、消防安全等进行了检查，结果均正常；检查人签字；</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公司对员工进行了身体健康体检，抽见体检报告，聂XX、邓XX、何XX等人，结果均正常；</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未有上级主管部门的监督检查。</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b/>
                <w:color w:val="000000" w:themeColor="text1"/>
                <w:sz w:val="20"/>
                <w:szCs w:val="20"/>
              </w:rPr>
            </w:pPr>
            <w:r>
              <w:rPr>
                <w:rFonts w:hint="default" w:ascii="Times New Roman" w:hAnsi="Times New Roman" w:eastAsia="宋体" w:cs="Times New Roman"/>
                <w:color w:val="auto"/>
                <w:sz w:val="20"/>
                <w:szCs w:val="20"/>
                <w:highlight w:val="none"/>
                <w:lang w:val="en-US" w:eastAsia="zh-CN"/>
              </w:rPr>
              <w:t>公司经营能遵守相关的法律法规，没有违反环境、职业健康安全法律法规现象，近期没有发生环境与职业健康安全的事故。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 w:val="20"/>
                <w:szCs w:val="20"/>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查见“顾客满意度控制程序”，有效文件；明确了顾客满意度监测方法。</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查见“顾客满意程度调查表”，业务部于2021年</w:t>
            </w:r>
            <w:r>
              <w:rPr>
                <w:rFonts w:hint="eastAsia" w:ascii="Times New Roman" w:hAnsi="Times New Roman" w:eastAsia="宋体" w:cs="Times New Roman"/>
                <w:color w:val="auto"/>
                <w:sz w:val="20"/>
                <w:szCs w:val="20"/>
                <w:highlight w:val="none"/>
                <w:lang w:val="en-US" w:eastAsia="zh-CN"/>
              </w:rPr>
              <w:t>6</w:t>
            </w:r>
            <w:r>
              <w:rPr>
                <w:rFonts w:hint="default" w:ascii="Times New Roman" w:hAnsi="Times New Roman" w:eastAsia="宋体" w:cs="Times New Roman"/>
                <w:color w:val="auto"/>
                <w:sz w:val="20"/>
                <w:szCs w:val="20"/>
                <w:highlight w:val="none"/>
                <w:lang w:val="en-US" w:eastAsia="zh-CN"/>
              </w:rPr>
              <w:t>月1</w:t>
            </w:r>
            <w:r>
              <w:rPr>
                <w:rFonts w:hint="eastAsia" w:ascii="Times New Roman" w:hAnsi="Times New Roman" w:eastAsia="宋体" w:cs="Times New Roman"/>
                <w:color w:val="auto"/>
                <w:sz w:val="20"/>
                <w:szCs w:val="20"/>
                <w:highlight w:val="none"/>
                <w:lang w:val="en-US" w:eastAsia="zh-CN"/>
              </w:rPr>
              <w:t>3</w:t>
            </w:r>
            <w:r>
              <w:rPr>
                <w:rFonts w:hint="default" w:ascii="Times New Roman" w:hAnsi="Times New Roman" w:eastAsia="宋体" w:cs="Times New Roman"/>
                <w:color w:val="auto"/>
                <w:sz w:val="20"/>
                <w:szCs w:val="20"/>
                <w:highlight w:val="none"/>
                <w:lang w:val="en-US" w:eastAsia="zh-CN"/>
              </w:rPr>
              <w:t>日-- 2021年</w:t>
            </w:r>
            <w:r>
              <w:rPr>
                <w:rFonts w:hint="eastAsia" w:ascii="Times New Roman" w:hAnsi="Times New Roman" w:eastAsia="宋体" w:cs="Times New Roman"/>
                <w:color w:val="auto"/>
                <w:sz w:val="20"/>
                <w:szCs w:val="20"/>
                <w:highlight w:val="none"/>
                <w:lang w:val="en-US" w:eastAsia="zh-CN"/>
              </w:rPr>
              <w:t>6</w:t>
            </w:r>
            <w:r>
              <w:rPr>
                <w:rFonts w:hint="default" w:ascii="Times New Roman" w:hAnsi="Times New Roman" w:eastAsia="宋体" w:cs="Times New Roman"/>
                <w:color w:val="auto"/>
                <w:sz w:val="20"/>
                <w:szCs w:val="20"/>
                <w:highlight w:val="none"/>
                <w:lang w:val="en-US" w:eastAsia="zh-CN"/>
              </w:rPr>
              <w:t>月1</w:t>
            </w:r>
            <w:r>
              <w:rPr>
                <w:rFonts w:hint="eastAsia" w:ascii="Times New Roman" w:hAnsi="Times New Roman" w:eastAsia="宋体" w:cs="Times New Roman"/>
                <w:color w:val="auto"/>
                <w:sz w:val="20"/>
                <w:szCs w:val="20"/>
                <w:highlight w:val="none"/>
                <w:lang w:val="en-US" w:eastAsia="zh-CN"/>
              </w:rPr>
              <w:t>4</w:t>
            </w:r>
            <w:r>
              <w:rPr>
                <w:rFonts w:hint="default" w:ascii="Times New Roman" w:hAnsi="Times New Roman" w:eastAsia="宋体" w:cs="Times New Roman"/>
                <w:color w:val="auto"/>
                <w:sz w:val="20"/>
                <w:szCs w:val="20"/>
                <w:highlight w:val="none"/>
                <w:lang w:val="en-US" w:eastAsia="zh-CN"/>
              </w:rPr>
              <w:t>日进行顾客满意度调查，发放调查表</w:t>
            </w:r>
            <w:r>
              <w:rPr>
                <w:rFonts w:hint="eastAsia" w:ascii="Times New Roman" w:hAnsi="Times New Roman" w:eastAsia="宋体" w:cs="Times New Roman"/>
                <w:color w:val="auto"/>
                <w:sz w:val="20"/>
                <w:szCs w:val="20"/>
                <w:highlight w:val="none"/>
                <w:lang w:val="en-US" w:eastAsia="zh-CN"/>
              </w:rPr>
              <w:t>10</w:t>
            </w:r>
            <w:r>
              <w:rPr>
                <w:rFonts w:hint="default" w:ascii="Times New Roman" w:hAnsi="Times New Roman" w:eastAsia="宋体" w:cs="Times New Roman"/>
                <w:color w:val="auto"/>
                <w:sz w:val="20"/>
                <w:szCs w:val="20"/>
                <w:highlight w:val="none"/>
                <w:lang w:val="en-US" w:eastAsia="zh-CN"/>
              </w:rPr>
              <w:t>份，回收调查表共</w:t>
            </w:r>
            <w:r>
              <w:rPr>
                <w:rFonts w:hint="eastAsia" w:ascii="Times New Roman" w:hAnsi="Times New Roman" w:eastAsia="宋体" w:cs="Times New Roman"/>
                <w:color w:val="auto"/>
                <w:sz w:val="20"/>
                <w:szCs w:val="20"/>
                <w:highlight w:val="none"/>
                <w:lang w:val="en-US" w:eastAsia="zh-CN"/>
              </w:rPr>
              <w:t>10</w:t>
            </w:r>
            <w:r>
              <w:rPr>
                <w:rFonts w:hint="default" w:ascii="Times New Roman" w:hAnsi="Times New Roman" w:eastAsia="宋体" w:cs="Times New Roman"/>
                <w:color w:val="auto"/>
                <w:sz w:val="20"/>
                <w:szCs w:val="20"/>
                <w:highlight w:val="none"/>
                <w:lang w:val="en-US" w:eastAsia="zh-CN"/>
              </w:rPr>
              <w:t>份。调查项目包括产品质量、价格比、交货期、售后服务等。</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eastAsia="宋体"/>
                <w:b/>
                <w:color w:val="000000" w:themeColor="text1"/>
                <w:sz w:val="20"/>
                <w:szCs w:val="20"/>
                <w:lang w:val="en-US" w:eastAsia="zh-CN"/>
              </w:rPr>
            </w:pPr>
            <w:r>
              <w:rPr>
                <w:rFonts w:hint="default" w:ascii="Times New Roman" w:hAnsi="Times New Roman" w:eastAsia="宋体" w:cs="Times New Roman"/>
                <w:color w:val="auto"/>
                <w:sz w:val="20"/>
                <w:szCs w:val="20"/>
                <w:highlight w:val="none"/>
                <w:lang w:val="en-US" w:eastAsia="zh-CN"/>
              </w:rPr>
              <w:t>查见“顾客满意度调查分析”，显示对本次调查的结果进行统计分析，顾客满意度平均分为97分。</w:t>
            </w:r>
            <w:r>
              <w:rPr>
                <w:rFonts w:hint="eastAsia" w:ascii="Times New Roman" w:hAnsi="Times New Roman" w:eastAsia="宋体" w:cs="Times New Roman"/>
                <w:color w:val="auto"/>
                <w:sz w:val="20"/>
                <w:szCs w:val="2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szCs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制定有《内部审核程序》，有效文件；</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2021年3月29-30日，对各部门进行了内审，保留了内审计划、内审记录、不符合报告、内审报告；内审覆盖了管理体系范围内的活动及标准的要求；</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本次内审开具不符合报告1份，涉及环境和职业健康安全的8.1条款，已整改，有整改验收记录；</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b/>
                <w:color w:val="000000" w:themeColor="text1"/>
                <w:sz w:val="20"/>
                <w:szCs w:val="20"/>
              </w:rPr>
            </w:pPr>
            <w:r>
              <w:rPr>
                <w:rFonts w:hint="default" w:ascii="Times New Roman" w:hAnsi="Times New Roman" w:cs="Times New Roman"/>
                <w:color w:val="auto"/>
                <w:sz w:val="20"/>
                <w:szCs w:val="20"/>
                <w:highlight w:val="none"/>
                <w:lang w:val="en-US" w:eastAsia="zh-CN"/>
              </w:rPr>
              <w:t>内审结论为：三体系运行基本良好，运行达到一定的效果，基本符合标准的要求，但仍存在不足，各部门应举一反三，对类似问题予以整改。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szCs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2021年</w:t>
            </w:r>
            <w:r>
              <w:rPr>
                <w:rFonts w:hint="eastAsia" w:ascii="Times New Roman" w:hAnsi="Times New Roman" w:cs="Times New Roman"/>
                <w:sz w:val="20"/>
                <w:szCs w:val="20"/>
                <w:lang w:val="en-US" w:eastAsia="zh-CN"/>
              </w:rPr>
              <w:t>4</w:t>
            </w:r>
            <w:r>
              <w:rPr>
                <w:rFonts w:hint="default" w:ascii="Times New Roman" w:hAnsi="Times New Roman" w:cs="Times New Roman"/>
                <w:sz w:val="20"/>
                <w:szCs w:val="20"/>
                <w:lang w:val="en-US" w:eastAsia="zh-CN"/>
              </w:rPr>
              <w:t>月1</w:t>
            </w:r>
            <w:r>
              <w:rPr>
                <w:rFonts w:hint="eastAsia" w:ascii="Times New Roman" w:hAnsi="Times New Roman" w:cs="Times New Roman"/>
                <w:sz w:val="20"/>
                <w:szCs w:val="20"/>
                <w:lang w:val="en-US" w:eastAsia="zh-CN"/>
              </w:rPr>
              <w:t>3</w:t>
            </w:r>
            <w:r>
              <w:rPr>
                <w:rFonts w:hint="default" w:ascii="Times New Roman" w:hAnsi="Times New Roman" w:cs="Times New Roman"/>
                <w:sz w:val="20"/>
                <w:szCs w:val="20"/>
                <w:lang w:val="en-US" w:eastAsia="zh-CN"/>
              </w:rPr>
              <w:t>日在公司会议室由</w:t>
            </w:r>
            <w:r>
              <w:rPr>
                <w:rFonts w:hint="eastAsia" w:ascii="Times New Roman" w:hAnsi="Times New Roman" w:cs="Times New Roman"/>
                <w:sz w:val="20"/>
                <w:szCs w:val="20"/>
                <w:lang w:val="en-US" w:eastAsia="zh-CN"/>
              </w:rPr>
              <w:t>徐杰</w:t>
            </w:r>
            <w:r>
              <w:rPr>
                <w:rFonts w:hint="default" w:ascii="Times New Roman" w:hAnsi="Times New Roman" w:cs="Times New Roman"/>
                <w:sz w:val="20"/>
                <w:szCs w:val="20"/>
                <w:lang w:val="en-US" w:eastAsia="zh-CN"/>
              </w:rPr>
              <w:t>总经理主持召开管理评审会议；</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保留管理评审计划、管理评审报告、管理评审会议纪要等；</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管理评审输入充分；</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管理评审结论：建立和运行是充分的、适宜的、有效的。</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改进措施要求：进一步组织对相关的法律、法规、规程和规范的学习，以增强广大技术人员的质量意识环境保护意识；</w:t>
            </w:r>
          </w:p>
          <w:p>
            <w:pPr>
              <w:spacing w:line="360" w:lineRule="auto"/>
              <w:ind w:firstLine="400" w:firstLineChars="200"/>
              <w:rPr>
                <w:b/>
                <w:color w:val="000000" w:themeColor="text1"/>
                <w:sz w:val="20"/>
                <w:szCs w:val="20"/>
              </w:rPr>
            </w:pPr>
            <w:r>
              <w:rPr>
                <w:rFonts w:hint="default" w:ascii="Times New Roman" w:hAnsi="Times New Roman" w:cs="Times New Roman"/>
                <w:sz w:val="20"/>
                <w:szCs w:val="20"/>
                <w:lang w:val="en-US" w:eastAsia="zh-CN"/>
              </w:rPr>
              <w:t>保留有“管理评审改进措施计划”。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360" w:lineRule="auto"/>
              <w:ind w:firstLine="400" w:firstLineChars="200"/>
              <w:rPr>
                <w:rFonts w:hint="eastAsia" w:eastAsia="宋体"/>
                <w:b/>
                <w:color w:val="000000" w:themeColor="text1"/>
                <w:sz w:val="20"/>
                <w:szCs w:val="20"/>
                <w:lang w:val="en-US" w:eastAsia="zh-CN"/>
              </w:rPr>
            </w:pPr>
            <w:r>
              <w:rPr>
                <w:rFonts w:hint="default" w:ascii="Times New Roman" w:hAnsi="Times New Roman" w:eastAsia="宋体" w:cs="Times New Roman"/>
                <w:sz w:val="20"/>
                <w:szCs w:val="20"/>
                <w:lang w:val="en-US" w:eastAsia="zh-CN"/>
              </w:rPr>
              <w:t>查见“环境安全运行检查记录”，抽见2021.1-5，对固废管理、能源消耗、消防安全等进行了检查，结果均正常；检查人签字；</w:t>
            </w:r>
            <w:r>
              <w:rPr>
                <w:rFonts w:hint="eastAsia" w:ascii="Times New Roman" w:hAnsi="Times New Roman" w:eastAsia="宋体" w:cs="Times New Roman"/>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查见“环境安全运行检查记录”，抽见2021.1-5，对固废管理、能源消耗、消防安全等进行了检查，结果均正常；检查人签字；</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b/>
                <w:color w:val="000000" w:themeColor="text1"/>
                <w:sz w:val="20"/>
                <w:szCs w:val="20"/>
              </w:rPr>
            </w:pPr>
            <w:r>
              <w:rPr>
                <w:rFonts w:hint="default" w:ascii="Times New Roman" w:hAnsi="Times New Roman" w:cs="Times New Roman"/>
                <w:color w:val="auto"/>
                <w:sz w:val="20"/>
                <w:szCs w:val="20"/>
                <w:highlight w:val="none"/>
                <w:lang w:val="en-US" w:eastAsia="zh-CN"/>
              </w:rPr>
              <w:t>公司对员工进行了身体健康体检，抽见体检报告，聂XX、邓XX、何XX等人，结果均正常</w:t>
            </w:r>
            <w:r>
              <w:rPr>
                <w:rFonts w:hint="eastAsia" w:ascii="Times New Roman" w:hAnsi="Times New Roman" w:cs="Times New Roman"/>
                <w:color w:val="auto"/>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szCs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20" w:type="dxa"/>
            <w:vMerge w:val="restart"/>
            <w:vAlign w:val="center"/>
          </w:tcPr>
          <w:p>
            <w:pPr>
              <w:spacing w:line="240" w:lineRule="exact"/>
              <w:ind w:left="113"/>
              <w:jc w:val="center"/>
              <w:rPr>
                <w:b/>
                <w:color w:val="000000" w:themeColor="text1"/>
                <w:sz w:val="20"/>
                <w:szCs w:val="20"/>
              </w:rPr>
            </w:pPr>
            <w:r>
              <w:rPr>
                <w:rFonts w:hint="eastAsia"/>
                <w:b/>
                <w:color w:val="000000" w:themeColor="text1"/>
                <w:sz w:val="20"/>
                <w:szCs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ind w:firstLine="376" w:firstLineChars="200"/>
              <w:rPr>
                <w:b/>
                <w:color w:val="000000" w:themeColor="text1"/>
                <w:sz w:val="20"/>
                <w:szCs w:val="20"/>
              </w:rPr>
            </w:pPr>
            <w:r>
              <w:rPr>
                <w:rFonts w:hint="eastAsia" w:ascii="宋体" w:hAnsi="宋体" w:cs="Arial"/>
                <w:spacing w:val="-6"/>
                <w:sz w:val="20"/>
                <w:szCs w:val="20"/>
                <w:highlight w:val="none"/>
                <w:lang w:val="en-US" w:eastAsia="zh-CN"/>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ind w:firstLine="400" w:firstLineChars="200"/>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360" w:lineRule="auto"/>
              <w:ind w:firstLine="320" w:firstLineChars="200"/>
              <w:rPr>
                <w:b/>
                <w:color w:val="000000" w:themeColor="text1"/>
                <w:spacing w:val="-20"/>
                <w:sz w:val="20"/>
                <w:szCs w:val="20"/>
              </w:rPr>
            </w:pPr>
            <w:r>
              <w:rPr>
                <w:rFonts w:hint="eastAsia"/>
                <w:b w:val="0"/>
                <w:bCs/>
                <w:color w:val="000000" w:themeColor="text1"/>
                <w:spacing w:val="-20"/>
                <w:sz w:val="20"/>
                <w:szCs w:val="20"/>
                <w:lang w:val="en-US" w:eastAsia="zh-CN"/>
              </w:rPr>
              <w:t>一阶段未提出整改意见。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720" w:type="dxa"/>
            <w:vMerge w:val="continue"/>
            <w:vAlign w:val="center"/>
          </w:tcPr>
          <w:p>
            <w:pPr>
              <w:spacing w:line="240" w:lineRule="exact"/>
              <w:jc w:val="center"/>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5. 上次不符合的整改情况（再认证填写）</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rFonts w:hint="eastAsia"/>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spacing w:line="300" w:lineRule="exact"/>
        <w:rPr>
          <w:b/>
          <w:color w:val="000000" w:themeColor="text1"/>
          <w:sz w:val="26"/>
          <w:szCs w:val="26"/>
        </w:rPr>
      </w:pPr>
    </w:p>
    <w:p>
      <w:pPr>
        <w:pStyle w:val="2"/>
      </w:pP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91" w:leftChars="-337" w:hanging="517" w:hangingChars="271"/>
        <w:rPr>
          <w:rFonts w:ascii="Times New Roman" w:hAnsi="Times New Roman" w:eastAsia="宋体" w:cs="Times New Roman"/>
          <w:b/>
          <w:color w:val="000000" w:themeColor="text1"/>
          <w:spacing w:val="-10"/>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2"/>
              <w:spacing w:line="360" w:lineRule="auto"/>
              <w:rPr>
                <w:rFonts w:hint="eastAsia" w:ascii="宋体" w:hAnsi="宋体" w:eastAsia="宋体" w:cs="Arial"/>
                <w:b w:val="0"/>
                <w:spacing w:val="-6"/>
                <w:kern w:val="2"/>
                <w:sz w:val="20"/>
                <w:szCs w:val="20"/>
                <w:highlight w:val="none"/>
                <w:lang w:val="en-US" w:eastAsia="zh-CN" w:bidi="ar-SA"/>
              </w:rPr>
            </w:pPr>
            <w:r>
              <w:rPr>
                <w:rFonts w:hint="eastAsia" w:ascii="宋体" w:hAnsi="宋体" w:eastAsia="宋体" w:cs="Arial"/>
                <w:b w:val="0"/>
                <w:spacing w:val="-6"/>
                <w:kern w:val="2"/>
                <w:sz w:val="20"/>
                <w:szCs w:val="20"/>
                <w:highlight w:val="none"/>
                <w:lang w:val="en-US" w:eastAsia="zh-CN" w:bidi="ar-SA"/>
              </w:rPr>
              <w:t>组织建立并实施的管理体系基本符合标准要求，可能存在的重要风险可以得到有效控制，没有出现过环境和安全事故以及顾客投诉事件发生，体系运行基本有效，组织初步建立了自我完善和自我改进机制。经审核组确认同意推荐认证注册。</w:t>
            </w:r>
          </w:p>
          <w:p>
            <w:pPr>
              <w:pStyle w:val="2"/>
              <w:spacing w:line="360" w:lineRule="auto"/>
              <w:rPr>
                <w:rFonts w:hint="eastAsia" w:ascii="宋体" w:hAnsi="宋体" w:eastAsia="宋体" w:cs="Arial"/>
                <w:b w:val="0"/>
                <w:spacing w:val="-6"/>
                <w:kern w:val="2"/>
                <w:sz w:val="20"/>
                <w:szCs w:val="20"/>
                <w:highlight w:val="none"/>
                <w:lang w:val="en-US" w:eastAsia="zh-CN" w:bidi="ar-SA"/>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lang w:eastAsia="zh-CN"/>
              </w:rPr>
            </w:pPr>
            <w:r>
              <w:rPr>
                <w:rFonts w:hint="eastAsia"/>
                <w:b/>
                <w:color w:val="000000" w:themeColor="text1"/>
                <w:spacing w:val="-10"/>
                <w:szCs w:val="21"/>
              </w:rPr>
              <w:sym w:font="Wingdings 2" w:char="0052"/>
            </w:r>
            <w:r>
              <w:rPr>
                <w:rFonts w:hint="eastAsia"/>
                <w:b/>
                <w:color w:val="000000" w:themeColor="text1"/>
              </w:rPr>
              <w:t>审核范围适宜，与申请范围一致</w:t>
            </w:r>
            <w:r>
              <w:rPr>
                <w:rFonts w:hint="eastAsia"/>
                <w:b/>
                <w:color w:val="000000" w:themeColor="text1"/>
                <w:lang w:eastAsia="zh-CN"/>
              </w:rPr>
              <w:t>：</w:t>
            </w:r>
          </w:p>
          <w:p>
            <w:pPr>
              <w:pStyle w:val="2"/>
              <w:rPr>
                <w:rFonts w:ascii="Times New Roman" w:hAnsi="Times New Roman" w:eastAsia="宋体" w:cs="Times New Roman"/>
                <w:sz w:val="20"/>
              </w:rPr>
            </w:pPr>
            <w:r>
              <w:rPr>
                <w:rFonts w:ascii="Times New Roman" w:hAnsi="Times New Roman" w:eastAsia="宋体" w:cs="Times New Roman"/>
                <w:sz w:val="20"/>
              </w:rPr>
              <w:t>Q：智能交通系统软件的开发、设计、维护</w:t>
            </w:r>
          </w:p>
          <w:p>
            <w:pPr>
              <w:pStyle w:val="2"/>
              <w:rPr>
                <w:rFonts w:ascii="Times New Roman" w:hAnsi="Times New Roman" w:eastAsia="宋体" w:cs="Times New Roman"/>
                <w:sz w:val="20"/>
              </w:rPr>
            </w:pPr>
            <w:r>
              <w:rPr>
                <w:rFonts w:ascii="Times New Roman" w:hAnsi="Times New Roman" w:eastAsia="宋体" w:cs="Times New Roman"/>
                <w:sz w:val="20"/>
              </w:rPr>
              <w:t>E：智能交通系统软件的开发、设计、维护所涉及场所的相关环境管理活动</w:t>
            </w:r>
          </w:p>
          <w:p>
            <w:pPr>
              <w:pStyle w:val="2"/>
              <w:rPr>
                <w:sz w:val="20"/>
              </w:rPr>
            </w:pPr>
            <w:r>
              <w:rPr>
                <w:sz w:val="20"/>
              </w:rPr>
              <w:t>O：智能交通系统软件的开发、设计、维护所涉及场所的相关职业健康安全管理活动</w:t>
            </w:r>
          </w:p>
          <w:p>
            <w:pPr>
              <w:pStyle w:val="2"/>
              <w:rPr>
                <w:rFonts w:hint="eastAsia"/>
                <w:sz w:val="20"/>
                <w:lang w:eastAsia="zh-CN"/>
              </w:rPr>
            </w:pP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spacing w:line="360" w:lineRule="auto"/>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spacing w:line="360" w:lineRule="auto"/>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pacing w:line="360" w:lineRule="auto"/>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pacing w:line="360" w:lineRule="auto"/>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pacing w:line="360" w:lineRule="auto"/>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pacing w:line="360" w:lineRule="auto"/>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pacing w:line="360" w:lineRule="auto"/>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spacing w:line="360" w:lineRule="auto"/>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spacing w:line="360" w:lineRule="auto"/>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pStyle w:val="2"/>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1478280</wp:posOffset>
            </wp:positionH>
            <wp:positionV relativeFrom="paragraph">
              <wp:posOffset>282575</wp:posOffset>
            </wp:positionV>
            <wp:extent cx="847725" cy="511175"/>
            <wp:effectExtent l="0" t="0" r="9525" b="3175"/>
            <wp:wrapNone/>
            <wp:docPr id="3"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签名-褚敏杰"/>
                    <pic:cNvPicPr>
                      <a:picLocks noChangeAspect="1"/>
                    </pic:cNvPicPr>
                  </pic:nvPicPr>
                  <pic:blipFill>
                    <a:blip r:embed="rId6">
                      <a:clrChange>
                        <a:clrFrom>
                          <a:srgbClr val="FFFFFF"/>
                        </a:clrFrom>
                        <a:clrTo>
                          <a:srgbClr val="FFFFFF">
                            <a:alpha val="0"/>
                          </a:srgbClr>
                        </a:clrTo>
                      </a:clrChange>
                      <a:lum bright="-71997"/>
                    </a:blip>
                    <a:stretch>
                      <a:fillRect/>
                    </a:stretch>
                  </pic:blipFill>
                  <pic:spPr>
                    <a:xfrm>
                      <a:off x="0" y="0"/>
                      <a:ext cx="847725" cy="51117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8480" behindDoc="0" locked="0" layoutInCell="1" allowOverlap="1">
            <wp:simplePos x="0" y="0"/>
            <wp:positionH relativeFrom="column">
              <wp:posOffset>2343785</wp:posOffset>
            </wp:positionH>
            <wp:positionV relativeFrom="paragraph">
              <wp:posOffset>50800</wp:posOffset>
            </wp:positionV>
            <wp:extent cx="1022350" cy="488315"/>
            <wp:effectExtent l="0" t="0" r="6350" b="6985"/>
            <wp:wrapNone/>
            <wp:docPr id="5" name="图片 5" descr="王景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王景玲"/>
                    <pic:cNvPicPr>
                      <a:picLocks noChangeAspect="1"/>
                    </pic:cNvPicPr>
                  </pic:nvPicPr>
                  <pic:blipFill>
                    <a:blip r:embed="rId7">
                      <a:clrChange>
                        <a:clrFrom>
                          <a:srgbClr val="FFFFFF">
                            <a:alpha val="100000"/>
                          </a:srgbClr>
                        </a:clrFrom>
                        <a:clrTo>
                          <a:srgbClr val="FFFFFF">
                            <a:alpha val="100000"/>
                            <a:alpha val="0"/>
                          </a:srgbClr>
                        </a:clrTo>
                      </a:clrChange>
                      <a:lum contrast="-100000"/>
                    </a:blip>
                    <a:stretch>
                      <a:fillRect/>
                    </a:stretch>
                  </pic:blipFill>
                  <pic:spPr>
                    <a:xfrm>
                      <a:off x="0" y="0"/>
                      <a:ext cx="1022350" cy="488315"/>
                    </a:xfrm>
                    <a:prstGeom prst="rect">
                      <a:avLst/>
                    </a:prstGeom>
                  </pic:spPr>
                </pic:pic>
              </a:graphicData>
            </a:graphic>
          </wp:anchor>
        </w:drawing>
      </w:r>
      <w:r>
        <w:drawing>
          <wp:anchor distT="0" distB="0" distL="114300" distR="114300" simplePos="0" relativeHeight="251667456" behindDoc="0" locked="0" layoutInCell="1" allowOverlap="1">
            <wp:simplePos x="0" y="0"/>
            <wp:positionH relativeFrom="column">
              <wp:posOffset>1475105</wp:posOffset>
            </wp:positionH>
            <wp:positionV relativeFrom="paragraph">
              <wp:posOffset>102870</wp:posOffset>
            </wp:positionV>
            <wp:extent cx="688975" cy="434340"/>
            <wp:effectExtent l="0" t="0" r="15875" b="3175"/>
            <wp:wrapNone/>
            <wp:docPr id="4" name="图片 2" descr="陈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陈浩"/>
                    <pic:cNvPicPr>
                      <a:picLocks noChangeAspect="1"/>
                    </pic:cNvPicPr>
                  </pic:nvPicPr>
                  <pic:blipFill>
                    <a:blip r:embed="rId8">
                      <a:clrChange>
                        <a:clrFrom>
                          <a:srgbClr val="FFFFFF"/>
                        </a:clrFrom>
                        <a:clrTo>
                          <a:srgbClr val="FFFFFF">
                            <a:alpha val="0"/>
                          </a:srgbClr>
                        </a:clrTo>
                      </a:clrChange>
                      <a:lum bright="-35999" contrast="100000"/>
                    </a:blip>
                    <a:stretch>
                      <a:fillRect/>
                    </a:stretch>
                  </pic:blipFill>
                  <pic:spPr>
                    <a:xfrm>
                      <a:off x="0" y="0"/>
                      <a:ext cx="688975" cy="434340"/>
                    </a:xfrm>
                    <a:prstGeom prst="rect">
                      <a:avLst/>
                    </a:prstGeom>
                    <a:noFill/>
                    <a:ln>
                      <a:noFill/>
                    </a:ln>
                  </pic:spPr>
                </pic:pic>
              </a:graphicData>
            </a:graphic>
          </wp:anchor>
        </w:drawing>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5397" w:firstLineChars="2560"/>
        <w:rPr>
          <w:rFonts w:hint="eastAsia"/>
          <w:b/>
          <w:color w:val="000000" w:themeColor="text1"/>
        </w:rPr>
      </w:pPr>
    </w:p>
    <w:p>
      <w:pPr>
        <w:pStyle w:val="2"/>
        <w:rPr>
          <w:rFonts w:hint="eastAsia"/>
        </w:rPr>
      </w:pPr>
    </w:p>
    <w:p>
      <w:pPr>
        <w:snapToGrid w:val="0"/>
        <w:spacing w:line="360" w:lineRule="auto"/>
        <w:ind w:firstLine="5397" w:firstLineChars="25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eastAsia="宋体"/>
          <w:sz w:val="22"/>
          <w:szCs w:val="22"/>
          <w:lang w:eastAsia="zh-CN"/>
        </w:rPr>
        <w:drawing>
          <wp:anchor distT="0" distB="0" distL="114300" distR="114300" simplePos="0" relativeHeight="251672576" behindDoc="0" locked="0" layoutInCell="1" allowOverlap="1">
            <wp:simplePos x="0" y="0"/>
            <wp:positionH relativeFrom="column">
              <wp:posOffset>649605</wp:posOffset>
            </wp:positionH>
            <wp:positionV relativeFrom="paragraph">
              <wp:posOffset>76835</wp:posOffset>
            </wp:positionV>
            <wp:extent cx="847725" cy="511175"/>
            <wp:effectExtent l="0" t="0" r="9525" b="3175"/>
            <wp:wrapNone/>
            <wp:docPr id="6"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签名-褚敏杰"/>
                    <pic:cNvPicPr>
                      <a:picLocks noChangeAspect="1"/>
                    </pic:cNvPicPr>
                  </pic:nvPicPr>
                  <pic:blipFill>
                    <a:blip r:embed="rId6">
                      <a:clrChange>
                        <a:clrFrom>
                          <a:srgbClr val="FFFFFF"/>
                        </a:clrFrom>
                        <a:clrTo>
                          <a:srgbClr val="FFFFFF">
                            <a:alpha val="0"/>
                          </a:srgbClr>
                        </a:clrTo>
                      </a:clrChange>
                      <a:lum bright="-71997"/>
                    </a:blip>
                    <a:stretch>
                      <a:fillRect/>
                    </a:stretch>
                  </pic:blipFill>
                  <pic:spPr>
                    <a:xfrm>
                      <a:off x="0" y="0"/>
                      <a:ext cx="847725" cy="51117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12</w:t>
      </w:r>
      <w:r>
        <w:rPr>
          <w:rFonts w:hint="eastAsia"/>
          <w:b/>
          <w:color w:val="000000" w:themeColor="text1"/>
          <w:szCs w:val="21"/>
        </w:rPr>
        <w:t>日</w:t>
      </w:r>
    </w:p>
    <w:p>
      <w:pPr>
        <w:pStyle w:val="2"/>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 w:val="16"/>
          <w:szCs w:val="16"/>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B16AD9"/>
    <w:rsid w:val="4711240E"/>
    <w:rsid w:val="667D7A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jc w:val="center"/>
      <w:outlineLvl w:val="1"/>
    </w:pPr>
    <w:rPr>
      <w:rFonts w:ascii="宋体" w:hAnsi="宋体"/>
      <w:b/>
      <w:sz w:val="5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9</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2021-07-14T08:22:41Z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