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江西慧通科技发展有限责任公司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0351-2021-QEO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91360106741986524M</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bookmarkStart w:id="2" w:name="_GoBack"/>
            <w:bookmarkEnd w:id="2"/>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3869690</wp:posOffset>
                  </wp:positionH>
                  <wp:positionV relativeFrom="paragraph">
                    <wp:posOffset>118110</wp:posOffset>
                  </wp:positionV>
                  <wp:extent cx="847725" cy="511175"/>
                  <wp:effectExtent l="0" t="0" r="9525" b="317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alpha val="100000"/>
                                </a:srgbClr>
                              </a:clrFrom>
                              <a:clrTo>
                                <a:srgbClr val="FFFFFF">
                                  <a:alpha val="100000"/>
                                  <a:alpha val="0"/>
                                </a:srgbClr>
                              </a:clrTo>
                            </a:clrChange>
                            <a:lum bright="-72000"/>
                          </a:blip>
                          <a:stretch>
                            <a:fillRect/>
                          </a:stretch>
                        </pic:blipFill>
                        <pic:spPr>
                          <a:xfrm>
                            <a:off x="0" y="0"/>
                            <a:ext cx="847725" cy="51117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6075" w:firstLineChars="2893"/>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486A89"/>
    <w:rsid w:val="64486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1129</Words>
  <Characters>1186</Characters>
  <Lines>9</Lines>
  <Paragraphs>2</Paragraphs>
  <TotalTime>2</TotalTime>
  <ScaleCrop>false</ScaleCrop>
  <LinksUpToDate>false</LinksUpToDate>
  <CharactersWithSpaces>1228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2021-07-10T03:04:41Z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