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江西好望投资咨询有限公司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gridSpan w:val="2"/>
            <w:vAlign w:val="center"/>
          </w:tcPr>
          <w:p>
            <w:pPr>
              <w:spacing w:line="360" w:lineRule="auto"/>
              <w:jc w:val="center"/>
              <w:rPr>
                <w:b/>
                <w:color w:val="000000" w:themeColor="text1"/>
                <w:sz w:val="20"/>
                <w:szCs w:val="20"/>
              </w:rPr>
            </w:pPr>
            <w:r>
              <w:rPr>
                <w:b/>
                <w:color w:val="000000" w:themeColor="text1"/>
                <w:sz w:val="20"/>
                <w:szCs w:val="20"/>
              </w:rPr>
              <w:t>褚敏杰</w:t>
            </w:r>
          </w:p>
        </w:tc>
        <w:tc>
          <w:tcPr>
            <w:tcW w:w="992" w:type="dxa"/>
            <w:vAlign w:val="center"/>
          </w:tcPr>
          <w:p>
            <w:pPr>
              <w:spacing w:line="360" w:lineRule="auto"/>
              <w:jc w:val="center"/>
              <w:rPr>
                <w:b/>
                <w:color w:val="000000" w:themeColor="text1"/>
                <w:sz w:val="20"/>
                <w:szCs w:val="20"/>
              </w:rPr>
            </w:pPr>
            <w:r>
              <w:rPr>
                <w:b/>
                <w:color w:val="000000" w:themeColor="text1"/>
                <w:sz w:val="20"/>
                <w:szCs w:val="20"/>
              </w:rPr>
              <w:t>组长</w:t>
            </w:r>
          </w:p>
        </w:tc>
        <w:tc>
          <w:tcPr>
            <w:tcW w:w="1216" w:type="dxa"/>
            <w:vAlign w:val="center"/>
          </w:tcPr>
          <w:p>
            <w:pPr>
              <w:spacing w:line="360" w:lineRule="auto"/>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360" w:lineRule="auto"/>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360" w:lineRule="auto"/>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gridSpan w:val="2"/>
            <w:vAlign w:val="center"/>
          </w:tcPr>
          <w:p>
            <w:pPr>
              <w:spacing w:line="360" w:lineRule="auto"/>
              <w:jc w:val="center"/>
              <w:rPr>
                <w:b/>
                <w:color w:val="000000" w:themeColor="text1"/>
                <w:sz w:val="20"/>
                <w:szCs w:val="20"/>
              </w:rPr>
            </w:pPr>
            <w:r>
              <w:rPr>
                <w:b/>
                <w:color w:val="000000" w:themeColor="text1"/>
                <w:sz w:val="20"/>
                <w:szCs w:val="20"/>
              </w:rPr>
              <w:t>王悦</w:t>
            </w:r>
          </w:p>
        </w:tc>
        <w:tc>
          <w:tcPr>
            <w:tcW w:w="992" w:type="dxa"/>
            <w:vAlign w:val="center"/>
          </w:tcPr>
          <w:p>
            <w:pPr>
              <w:spacing w:line="360" w:lineRule="auto"/>
              <w:jc w:val="center"/>
              <w:rPr>
                <w:b/>
                <w:color w:val="000000" w:themeColor="text1"/>
                <w:sz w:val="20"/>
                <w:szCs w:val="20"/>
              </w:rPr>
            </w:pPr>
            <w:r>
              <w:rPr>
                <w:b/>
                <w:color w:val="000000" w:themeColor="text1"/>
                <w:sz w:val="20"/>
                <w:szCs w:val="20"/>
              </w:rPr>
              <w:t>组员</w:t>
            </w:r>
          </w:p>
        </w:tc>
        <w:tc>
          <w:tcPr>
            <w:tcW w:w="1216" w:type="dxa"/>
            <w:vAlign w:val="center"/>
          </w:tcPr>
          <w:p>
            <w:pPr>
              <w:spacing w:line="360" w:lineRule="auto"/>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360" w:lineRule="auto"/>
              <w:jc w:val="center"/>
              <w:rPr>
                <w:b/>
                <w:color w:val="000000" w:themeColor="text1"/>
                <w:sz w:val="20"/>
                <w:szCs w:val="20"/>
              </w:rPr>
            </w:pPr>
            <w:r>
              <w:rPr>
                <w:b/>
                <w:color w:val="000000" w:themeColor="text1"/>
                <w:sz w:val="20"/>
                <w:szCs w:val="20"/>
              </w:rPr>
              <w:t>专家</w:t>
            </w:r>
          </w:p>
        </w:tc>
        <w:tc>
          <w:tcPr>
            <w:tcW w:w="2333" w:type="dxa"/>
            <w:gridSpan w:val="2"/>
            <w:vAlign w:val="center"/>
          </w:tcPr>
          <w:p>
            <w:pPr>
              <w:spacing w:line="360" w:lineRule="auto"/>
              <w:jc w:val="center"/>
              <w:rPr>
                <w:b/>
                <w:color w:val="000000" w:themeColor="text1"/>
                <w:sz w:val="20"/>
                <w:szCs w:val="20"/>
              </w:rPr>
            </w:pPr>
            <w:r>
              <w:rPr>
                <w:b/>
                <w:color w:val="000000" w:themeColor="text1"/>
                <w:sz w:val="20"/>
                <w:szCs w:val="20"/>
              </w:rPr>
              <w:t>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4" w:type="dxa"/>
            <w:gridSpan w:val="2"/>
            <w:vAlign w:val="center"/>
          </w:tcPr>
          <w:p>
            <w:pPr>
              <w:spacing w:line="360" w:lineRule="auto"/>
              <w:rPr>
                <w:b/>
                <w:color w:val="000000" w:themeColor="text1"/>
                <w:sz w:val="20"/>
                <w:szCs w:val="20"/>
              </w:rPr>
            </w:pPr>
          </w:p>
        </w:tc>
        <w:tc>
          <w:tcPr>
            <w:tcW w:w="992" w:type="dxa"/>
            <w:vAlign w:val="center"/>
          </w:tcPr>
          <w:p>
            <w:pPr>
              <w:spacing w:line="360" w:lineRule="auto"/>
              <w:rPr>
                <w:b/>
                <w:color w:val="000000" w:themeColor="text1"/>
                <w:sz w:val="20"/>
                <w:szCs w:val="20"/>
              </w:rPr>
            </w:pPr>
          </w:p>
        </w:tc>
        <w:tc>
          <w:tcPr>
            <w:tcW w:w="1216" w:type="dxa"/>
            <w:vAlign w:val="center"/>
          </w:tcPr>
          <w:p>
            <w:pPr>
              <w:spacing w:line="360" w:lineRule="auto"/>
              <w:rPr>
                <w:b/>
                <w:color w:val="000000" w:themeColor="text1"/>
                <w:sz w:val="20"/>
                <w:szCs w:val="20"/>
              </w:rPr>
            </w:pPr>
          </w:p>
        </w:tc>
        <w:tc>
          <w:tcPr>
            <w:tcW w:w="3478" w:type="dxa"/>
            <w:gridSpan w:val="3"/>
            <w:vAlign w:val="center"/>
          </w:tcPr>
          <w:p>
            <w:pPr>
              <w:spacing w:line="360" w:lineRule="auto"/>
              <w:rPr>
                <w:b/>
                <w:color w:val="000000" w:themeColor="text1"/>
                <w:sz w:val="20"/>
                <w:szCs w:val="20"/>
              </w:rPr>
            </w:pPr>
          </w:p>
        </w:tc>
        <w:tc>
          <w:tcPr>
            <w:tcW w:w="2333" w:type="dxa"/>
            <w:gridSpan w:val="2"/>
            <w:vAlign w:val="center"/>
          </w:tcPr>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spacing w:line="360" w:lineRule="auto"/>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360" w:lineRule="auto"/>
              <w:rPr>
                <w:b/>
                <w:color w:val="000000" w:themeColor="text1"/>
                <w:sz w:val="20"/>
                <w:szCs w:val="20"/>
              </w:rPr>
            </w:pPr>
            <w:r>
              <w:rPr>
                <w:rFonts w:hint="eastAsia"/>
                <w:b/>
                <w:color w:val="000000" w:themeColor="text1"/>
                <w:sz w:val="20"/>
                <w:szCs w:val="20"/>
              </w:rPr>
              <w:t>姓名</w:t>
            </w:r>
          </w:p>
        </w:tc>
        <w:tc>
          <w:tcPr>
            <w:tcW w:w="992" w:type="dxa"/>
            <w:vAlign w:val="center"/>
          </w:tcPr>
          <w:p>
            <w:pPr>
              <w:spacing w:line="360" w:lineRule="auto"/>
              <w:rPr>
                <w:b/>
                <w:color w:val="000000" w:themeColor="text1"/>
                <w:sz w:val="20"/>
                <w:szCs w:val="20"/>
              </w:rPr>
            </w:pPr>
            <w:r>
              <w:rPr>
                <w:rFonts w:hint="eastAsia"/>
                <w:b/>
                <w:color w:val="000000" w:themeColor="text1"/>
                <w:sz w:val="20"/>
                <w:szCs w:val="20"/>
              </w:rPr>
              <w:t>性别</w:t>
            </w:r>
          </w:p>
        </w:tc>
        <w:tc>
          <w:tcPr>
            <w:tcW w:w="1216" w:type="dxa"/>
            <w:vAlign w:val="center"/>
          </w:tcPr>
          <w:p>
            <w:pPr>
              <w:spacing w:line="360" w:lineRule="auto"/>
              <w:rPr>
                <w:b/>
                <w:color w:val="000000" w:themeColor="text1"/>
                <w:sz w:val="20"/>
                <w:szCs w:val="20"/>
              </w:rPr>
            </w:pPr>
            <w:r>
              <w:rPr>
                <w:rFonts w:hint="eastAsia"/>
                <w:b/>
                <w:color w:val="000000" w:themeColor="text1"/>
                <w:sz w:val="20"/>
                <w:szCs w:val="20"/>
              </w:rPr>
              <w:t>角色</w:t>
            </w:r>
          </w:p>
        </w:tc>
        <w:tc>
          <w:tcPr>
            <w:tcW w:w="3478" w:type="dxa"/>
            <w:gridSpan w:val="3"/>
            <w:vAlign w:val="center"/>
          </w:tcPr>
          <w:p>
            <w:pPr>
              <w:spacing w:line="360" w:lineRule="auto"/>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spacing w:line="360" w:lineRule="auto"/>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360" w:lineRule="auto"/>
              <w:rPr>
                <w:b/>
                <w:color w:val="000000" w:themeColor="text1"/>
              </w:rPr>
            </w:pPr>
          </w:p>
        </w:tc>
        <w:tc>
          <w:tcPr>
            <w:tcW w:w="992" w:type="dxa"/>
            <w:vAlign w:val="center"/>
          </w:tcPr>
          <w:p>
            <w:pPr>
              <w:spacing w:line="360" w:lineRule="auto"/>
              <w:rPr>
                <w:b/>
                <w:color w:val="000000" w:themeColor="text1"/>
              </w:rPr>
            </w:pPr>
          </w:p>
        </w:tc>
        <w:tc>
          <w:tcPr>
            <w:tcW w:w="1216" w:type="dxa"/>
            <w:vAlign w:val="center"/>
          </w:tcPr>
          <w:p>
            <w:pPr>
              <w:spacing w:line="360" w:lineRule="auto"/>
              <w:rPr>
                <w:b/>
                <w:color w:val="000000" w:themeColor="text1"/>
              </w:rPr>
            </w:pPr>
          </w:p>
        </w:tc>
        <w:tc>
          <w:tcPr>
            <w:tcW w:w="3478" w:type="dxa"/>
            <w:gridSpan w:val="3"/>
            <w:vAlign w:val="center"/>
          </w:tcPr>
          <w:p>
            <w:pPr>
              <w:spacing w:line="360" w:lineRule="auto"/>
              <w:rPr>
                <w:b/>
                <w:color w:val="000000" w:themeColor="text1"/>
              </w:rPr>
            </w:pPr>
          </w:p>
        </w:tc>
        <w:tc>
          <w:tcPr>
            <w:tcW w:w="2333" w:type="dxa"/>
            <w:gridSpan w:val="2"/>
            <w:vAlign w:val="center"/>
          </w:tcPr>
          <w:p>
            <w:pPr>
              <w:spacing w:line="360" w:lineRule="auto"/>
              <w:rPr>
                <w:b/>
                <w:color w:val="000000" w:themeColor="text1"/>
              </w:rPr>
            </w:pPr>
          </w:p>
        </w:tc>
      </w:tr>
    </w:tbl>
    <w:p>
      <w:pPr>
        <w:pStyle w:val="11"/>
        <w:numPr>
          <w:ilvl w:val="0"/>
          <w:numId w:val="0"/>
        </w:numPr>
        <w:ind w:left="-851" w:leftChars="0"/>
        <w:rPr>
          <w:rFonts w:ascii="宋体" w:hAnsi="宋体"/>
          <w:b/>
          <w:color w:val="000000" w:themeColor="text1"/>
          <w:sz w:val="26"/>
          <w:szCs w:val="2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2"/>
        <w:rPr>
          <w:rFonts w:hint="eastAsia"/>
        </w:rPr>
      </w:pPr>
    </w:p>
    <w:p>
      <w:pPr>
        <w:pStyle w:val="11"/>
        <w:numPr>
          <w:ilvl w:val="0"/>
          <w:numId w:val="1"/>
        </w:numPr>
        <w:ind w:left="-142" w:hanging="709" w:firstLineChars="0"/>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475"/>
        <w:gridCol w:w="128"/>
        <w:gridCol w:w="993"/>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975"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江西好望投资咨询有限公司</w:t>
            </w:r>
            <w:bookmarkEnd w:id="5"/>
          </w:p>
        </w:tc>
        <w:tc>
          <w:tcPr>
            <w:tcW w:w="1145"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837" w:type="dxa"/>
            <w:gridSpan w:val="2"/>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9"/>
          </w:tcPr>
          <w:p>
            <w:pPr>
              <w:spacing w:line="320" w:lineRule="exact"/>
              <w:jc w:val="left"/>
              <w:rPr>
                <w:rFonts w:ascii="宋体" w:hAnsi="宋体"/>
                <w:b/>
                <w:color w:val="000000" w:themeColor="text1"/>
                <w:sz w:val="20"/>
                <w:szCs w:val="20"/>
              </w:rPr>
            </w:pPr>
            <w:bookmarkStart w:id="7" w:name="注册地址"/>
            <w:r>
              <w:rPr>
                <w:rFonts w:ascii="宋体" w:hAnsi="宋体"/>
                <w:b w:val="0"/>
                <w:bCs/>
                <w:color w:val="000000" w:themeColor="text1"/>
                <w:sz w:val="20"/>
                <w:szCs w:val="20"/>
              </w:rPr>
              <w:t>江西省南昌市青山湖区湖滨东路1269号青山湖香溢花城二区16栋二单元401室(第4层)</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9"/>
          </w:tcPr>
          <w:p>
            <w:pPr>
              <w:spacing w:line="320" w:lineRule="exact"/>
              <w:rPr>
                <w:rFonts w:ascii="宋体" w:hAnsi="宋体"/>
                <w:b/>
                <w:color w:val="000000" w:themeColor="text1"/>
                <w:sz w:val="20"/>
                <w:szCs w:val="20"/>
              </w:rPr>
            </w:pPr>
            <w:r>
              <w:rPr>
                <w:rFonts w:hint="eastAsia" w:ascii="宋体" w:hAnsi="宋体"/>
                <w:b w:val="0"/>
                <w:bCs/>
                <w:color w:val="0000FF"/>
                <w:sz w:val="20"/>
                <w:szCs w:val="20"/>
                <w:lang w:val="zh-CN"/>
              </w:rPr>
              <w:t>江西省南昌经济技术开发区昌北庐山南大道</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330000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9"/>
          </w:tcPr>
          <w:p>
            <w:pPr>
              <w:spacing w:line="360" w:lineRule="auto"/>
              <w:rPr>
                <w:rFonts w:ascii="宋体" w:hAnsi="宋体"/>
                <w:b/>
                <w:color w:val="000000" w:themeColor="text1"/>
                <w:sz w:val="20"/>
                <w:szCs w:val="20"/>
              </w:rPr>
            </w:pPr>
          </w:p>
        </w:tc>
        <w:tc>
          <w:tcPr>
            <w:tcW w:w="540" w:type="dxa"/>
            <w:vMerge w:val="continue"/>
            <w:vAlign w:val="center"/>
          </w:tcPr>
          <w:p>
            <w:pPr>
              <w:spacing w:line="360" w:lineRule="auto"/>
              <w:jc w:val="center"/>
              <w:rPr>
                <w:rFonts w:ascii="宋体" w:hAnsi="宋体"/>
                <w:b/>
                <w:color w:val="000000" w:themeColor="text1"/>
                <w:sz w:val="20"/>
                <w:szCs w:val="20"/>
              </w:rPr>
            </w:pPr>
          </w:p>
        </w:tc>
        <w:tc>
          <w:tcPr>
            <w:tcW w:w="1297" w:type="dxa"/>
          </w:tcPr>
          <w:p>
            <w:pPr>
              <w:spacing w:line="360" w:lineRule="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60" w:lineRule="auto"/>
              <w:jc w:val="center"/>
              <w:rPr>
                <w:rFonts w:ascii="宋体" w:hAnsi="宋体"/>
                <w:b/>
                <w:color w:val="000000" w:themeColor="text1"/>
                <w:sz w:val="20"/>
                <w:szCs w:val="20"/>
              </w:rPr>
            </w:pPr>
            <w:bookmarkStart w:id="10" w:name="联系人"/>
            <w:r>
              <w:rPr>
                <w:rFonts w:ascii="宋体" w:hAnsi="宋体"/>
                <w:b/>
                <w:color w:val="000000" w:themeColor="text1"/>
                <w:sz w:val="20"/>
                <w:szCs w:val="20"/>
              </w:rPr>
              <w:t>罗璜</w:t>
            </w:r>
            <w:bookmarkEnd w:id="10"/>
          </w:p>
        </w:tc>
        <w:tc>
          <w:tcPr>
            <w:tcW w:w="1362" w:type="dxa"/>
            <w:gridSpan w:val="2"/>
            <w:vAlign w:val="center"/>
          </w:tcPr>
          <w:p>
            <w:pPr>
              <w:spacing w:line="360" w:lineRule="auto"/>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3"/>
            <w:vAlign w:val="center"/>
          </w:tcPr>
          <w:p>
            <w:pPr>
              <w:spacing w:line="360" w:lineRule="auto"/>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0791-83808836</w:t>
            </w:r>
            <w:bookmarkEnd w:id="11"/>
          </w:p>
        </w:tc>
        <w:tc>
          <w:tcPr>
            <w:tcW w:w="1145" w:type="dxa"/>
            <w:gridSpan w:val="3"/>
            <w:vAlign w:val="center"/>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传真</w:t>
            </w:r>
          </w:p>
        </w:tc>
        <w:tc>
          <w:tcPr>
            <w:tcW w:w="1837" w:type="dxa"/>
            <w:gridSpan w:val="2"/>
            <w:vAlign w:val="center"/>
          </w:tcPr>
          <w:p>
            <w:pPr>
              <w:spacing w:line="360" w:lineRule="auto"/>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60" w:lineRule="auto"/>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60" w:lineRule="auto"/>
              <w:jc w:val="center"/>
              <w:rPr>
                <w:rFonts w:ascii="宋体" w:hAnsi="宋体"/>
                <w:b/>
                <w:color w:val="000000" w:themeColor="text1"/>
                <w:sz w:val="20"/>
                <w:szCs w:val="20"/>
              </w:rPr>
            </w:pPr>
            <w:bookmarkStart w:id="13" w:name="法人"/>
            <w:r>
              <w:rPr>
                <w:rFonts w:ascii="宋体" w:hAnsi="宋体"/>
                <w:b/>
                <w:color w:val="000000" w:themeColor="text1"/>
                <w:sz w:val="20"/>
                <w:szCs w:val="20"/>
              </w:rPr>
              <w:t>黄淑英</w:t>
            </w:r>
            <w:bookmarkEnd w:id="13"/>
          </w:p>
        </w:tc>
        <w:tc>
          <w:tcPr>
            <w:tcW w:w="1362" w:type="dxa"/>
            <w:gridSpan w:val="2"/>
            <w:vAlign w:val="center"/>
          </w:tcPr>
          <w:p>
            <w:pPr>
              <w:spacing w:line="360" w:lineRule="auto"/>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60" w:lineRule="auto"/>
              <w:rPr>
                <w:rFonts w:ascii="宋体" w:hAnsi="宋体"/>
                <w:b/>
                <w:color w:val="000000" w:themeColor="text1"/>
                <w:spacing w:val="-20"/>
                <w:sz w:val="20"/>
                <w:szCs w:val="20"/>
              </w:rPr>
            </w:pPr>
            <w:bookmarkStart w:id="14" w:name="最高管理者"/>
            <w:bookmarkEnd w:id="14"/>
          </w:p>
        </w:tc>
        <w:tc>
          <w:tcPr>
            <w:tcW w:w="1620" w:type="dxa"/>
            <w:gridSpan w:val="4"/>
            <w:vAlign w:val="center"/>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1837" w:type="dxa"/>
            <w:gridSpan w:val="2"/>
            <w:vAlign w:val="center"/>
          </w:tcPr>
          <w:p>
            <w:pPr>
              <w:spacing w:line="360" w:lineRule="auto"/>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罗璜</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19" w:type="dxa"/>
            <w:vAlign w:val="center"/>
          </w:tcPr>
          <w:p>
            <w:pPr>
              <w:spacing w:line="240" w:lineRule="auto"/>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240" w:lineRule="auto"/>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1"/>
            <w:vAlign w:val="center"/>
          </w:tcPr>
          <w:p>
            <w:pPr>
              <w:spacing w:line="360" w:lineRule="auto"/>
              <w:jc w:val="both"/>
              <w:rPr>
                <w:rFonts w:ascii="宋体" w:hAnsi="宋体"/>
                <w:b/>
                <w:color w:val="000000" w:themeColor="text1"/>
                <w:sz w:val="20"/>
                <w:szCs w:val="20"/>
                <w:u w:val="single"/>
              </w:rPr>
            </w:pPr>
            <w:bookmarkStart w:id="16" w:name="审核范围"/>
            <w:r>
              <w:rPr>
                <w:rFonts w:ascii="宋体" w:hAnsi="宋体"/>
                <w:b/>
                <w:color w:val="000000" w:themeColor="text1"/>
                <w:sz w:val="20"/>
                <w:szCs w:val="20"/>
              </w:rPr>
              <w:t>招标代理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60" w:lineRule="auto"/>
              <w:jc w:val="both"/>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spacing w:line="360" w:lineRule="auto"/>
              <w:jc w:val="both"/>
              <w:rPr>
                <w:rFonts w:ascii="宋体" w:hAnsi="宋体"/>
                <w:b/>
                <w:color w:val="000000" w:themeColor="text1"/>
                <w:sz w:val="20"/>
                <w:szCs w:val="20"/>
              </w:rPr>
            </w:pPr>
            <w:bookmarkStart w:id="17" w:name="专业代码"/>
            <w:r>
              <w:rPr>
                <w:rFonts w:ascii="宋体" w:hAnsi="宋体"/>
                <w:b/>
                <w:color w:val="000000" w:themeColor="text1"/>
                <w:sz w:val="20"/>
                <w:szCs w:val="20"/>
              </w:rPr>
              <w:t>35.04.02</w:t>
            </w:r>
            <w:bookmarkEnd w:id="17"/>
          </w:p>
        </w:tc>
        <w:tc>
          <w:tcPr>
            <w:tcW w:w="2127" w:type="dxa"/>
            <w:gridSpan w:val="4"/>
            <w:vAlign w:val="center"/>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919" w:type="dxa"/>
            <w:vAlign w:val="center"/>
          </w:tcPr>
          <w:p>
            <w:pPr>
              <w:spacing w:line="360" w:lineRule="auto"/>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spacing w:line="360" w:lineRule="auto"/>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2020-11-10 0:00:00</w:t>
            </w:r>
            <w:bookmarkEnd w:id="18"/>
          </w:p>
        </w:tc>
        <w:tc>
          <w:tcPr>
            <w:tcW w:w="2403" w:type="dxa"/>
            <w:gridSpan w:val="5"/>
            <w:vAlign w:val="center"/>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4"/>
            <w:vAlign w:val="center"/>
          </w:tcPr>
          <w:p>
            <w:pPr>
              <w:spacing w:line="360" w:lineRule="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1"/>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1"/>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资料部</w:t>
            </w:r>
          </w:p>
        </w:tc>
        <w:tc>
          <w:tcPr>
            <w:tcW w:w="6804" w:type="dxa"/>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目标管理、资源（人员能力）管理、文件管理、内审、监测分析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6804" w:type="dxa"/>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招标部</w:t>
            </w:r>
          </w:p>
        </w:tc>
        <w:tc>
          <w:tcPr>
            <w:tcW w:w="6804" w:type="dxa"/>
          </w:tcPr>
          <w:p>
            <w:pPr>
              <w:jc w:val="left"/>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运行策划和控制、生产和服务提供的控制、产品和服务的放行、不合格输出的控制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rPr>
      </w:pPr>
    </w:p>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int="eastAsia"/>
          <w:b/>
          <w:color w:val="000000" w:themeColor="text1"/>
          <w:spacing w:val="-6"/>
          <w:szCs w:val="21"/>
        </w:rPr>
      </w:pPr>
    </w:p>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993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招标代理</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招标法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ind w:left="-1" w:leftChars="-337" w:hanging="707" w:hangingChars="271"/>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20" w:type="dxa"/>
            <w:vMerge w:val="restart"/>
            <w:textDirection w:val="tbRlV"/>
            <w:vAlign w:val="center"/>
          </w:tcPr>
          <w:p>
            <w:pPr>
              <w:spacing w:line="360" w:lineRule="auto"/>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360" w:lineRule="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ind w:firstLine="420" w:firstLineChars="200"/>
              <w:rPr>
                <w:rFonts w:hint="eastAsia"/>
                <w:szCs w:val="22"/>
                <w:highlight w:val="none"/>
                <w:lang w:val="zh-CN"/>
              </w:rPr>
            </w:pPr>
            <w:r>
              <w:rPr>
                <w:rFonts w:hint="eastAsia"/>
                <w:szCs w:val="22"/>
                <w:highlight w:val="none"/>
                <w:lang w:val="zh-CN"/>
              </w:rPr>
              <w:t>江西好望投资咨询有限公司成立于2014年2月17日，</w:t>
            </w:r>
            <w:r>
              <w:rPr>
                <w:rFonts w:hint="eastAsia"/>
                <w:szCs w:val="22"/>
                <w:highlight w:val="none"/>
                <w:lang w:val="en-US" w:eastAsia="zh-CN"/>
              </w:rPr>
              <w:t>注册资金200万元</w:t>
            </w:r>
            <w:r>
              <w:rPr>
                <w:rFonts w:hint="eastAsia"/>
                <w:szCs w:val="22"/>
                <w:highlight w:val="none"/>
                <w:lang w:val="zh-CN"/>
              </w:rPr>
              <w:t>；</w:t>
            </w:r>
          </w:p>
          <w:p>
            <w:pPr>
              <w:spacing w:line="360" w:lineRule="auto"/>
              <w:ind w:firstLine="420" w:firstLineChars="200"/>
              <w:rPr>
                <w:rFonts w:hint="eastAsia"/>
                <w:szCs w:val="22"/>
                <w:highlight w:val="none"/>
                <w:lang w:val="zh-CN"/>
              </w:rPr>
            </w:pPr>
            <w:r>
              <w:rPr>
                <w:rFonts w:hint="eastAsia"/>
                <w:szCs w:val="22"/>
                <w:highlight w:val="none"/>
                <w:lang w:val="en-US" w:eastAsia="zh-CN"/>
              </w:rPr>
              <w:t>注册</w:t>
            </w:r>
            <w:r>
              <w:rPr>
                <w:rFonts w:hint="eastAsia"/>
                <w:szCs w:val="22"/>
                <w:highlight w:val="none"/>
                <w:lang w:val="zh-CN"/>
              </w:rPr>
              <w:t>地址：江西省南昌市青山湖区湖滨东路1269号青山湖香溢花城二区16栋二单元401室（第4层）；</w:t>
            </w:r>
          </w:p>
          <w:p>
            <w:pPr>
              <w:spacing w:line="360" w:lineRule="auto"/>
              <w:ind w:firstLine="420" w:firstLineChars="200"/>
              <w:rPr>
                <w:rFonts w:hint="eastAsia"/>
                <w:color w:val="0000FF"/>
                <w:szCs w:val="22"/>
                <w:highlight w:val="none"/>
                <w:lang w:val="zh-CN"/>
              </w:rPr>
            </w:pPr>
            <w:r>
              <w:rPr>
                <w:rFonts w:hint="eastAsia"/>
                <w:color w:val="0000FF"/>
                <w:szCs w:val="22"/>
                <w:highlight w:val="none"/>
                <w:lang w:val="en-US" w:eastAsia="zh-CN"/>
              </w:rPr>
              <w:t>经营</w:t>
            </w:r>
            <w:r>
              <w:rPr>
                <w:rFonts w:hint="eastAsia"/>
                <w:color w:val="0000FF"/>
                <w:szCs w:val="22"/>
                <w:highlight w:val="none"/>
                <w:lang w:val="zh-CN"/>
              </w:rPr>
              <w:t>地址：江西省南昌经济技术开发区昌北庐山南大道；</w:t>
            </w:r>
          </w:p>
          <w:p>
            <w:pPr>
              <w:spacing w:line="360" w:lineRule="auto"/>
              <w:ind w:firstLine="420" w:firstLineChars="200"/>
              <w:rPr>
                <w:rFonts w:hint="eastAsia"/>
                <w:color w:val="auto"/>
                <w:szCs w:val="22"/>
                <w:highlight w:val="none"/>
                <w:lang w:val="en-US" w:eastAsia="zh-CN"/>
              </w:rPr>
            </w:pPr>
            <w:r>
              <w:rPr>
                <w:rFonts w:hint="eastAsia"/>
                <w:color w:val="auto"/>
                <w:szCs w:val="22"/>
                <w:highlight w:val="none"/>
                <w:lang w:val="en-US" w:eastAsia="zh-CN"/>
              </w:rPr>
              <w:t>公司现有十余人，主要设备有投影仪、打印机、台式电脑和笔记本电脑等，现有的设备基本能够满足业务服务要求。</w:t>
            </w:r>
          </w:p>
          <w:p>
            <w:pPr>
              <w:spacing w:line="360" w:lineRule="auto"/>
              <w:ind w:firstLine="420" w:firstLineChars="200"/>
              <w:rPr>
                <w:rFonts w:hint="eastAsia"/>
                <w:szCs w:val="22"/>
                <w:highlight w:val="none"/>
                <w:lang w:val="en-US" w:eastAsia="zh-CN"/>
              </w:rPr>
            </w:pPr>
            <w:r>
              <w:rPr>
                <w:rFonts w:hint="eastAsia"/>
                <w:szCs w:val="22"/>
                <w:highlight w:val="none"/>
                <w:lang w:val="en-US" w:eastAsia="zh-CN"/>
              </w:rPr>
              <w:t>营业执照范围：</w:t>
            </w:r>
            <w:r>
              <w:rPr>
                <w:rFonts w:hint="eastAsia"/>
                <w:szCs w:val="22"/>
                <w:highlight w:val="none"/>
                <w:lang w:val="zh-CN"/>
              </w:rPr>
              <w:t>主要</w:t>
            </w:r>
            <w:r>
              <w:rPr>
                <w:rFonts w:hint="eastAsia"/>
                <w:szCs w:val="22"/>
                <w:highlight w:val="none"/>
                <w:lang w:val="en-US" w:eastAsia="zh-CN"/>
              </w:rPr>
              <w:t>经营投资咨询（金融、证券、期货、保险除外）；工程监理、招标代理、造价咨询等，覆盖了认证范围：</w:t>
            </w:r>
          </w:p>
          <w:p>
            <w:pPr>
              <w:spacing w:line="360" w:lineRule="auto"/>
              <w:ind w:firstLine="420" w:firstLineChars="200"/>
              <w:rPr>
                <w:rFonts w:hint="default"/>
                <w:b w:val="0"/>
                <w:bCs w:val="0"/>
                <w:lang w:val="en-US" w:eastAsia="zh-CN"/>
              </w:rPr>
            </w:pPr>
            <w:r>
              <w:rPr>
                <w:rFonts w:hint="default"/>
                <w:b w:val="0"/>
                <w:bCs w:val="0"/>
                <w:lang w:val="en-US" w:eastAsia="zh-CN"/>
              </w:rPr>
              <w:t>Q：招标代理</w:t>
            </w:r>
          </w:p>
          <w:p>
            <w:pPr>
              <w:spacing w:line="360" w:lineRule="auto"/>
              <w:ind w:firstLine="420" w:firstLineChars="200"/>
              <w:rPr>
                <w:rFonts w:hint="eastAsia"/>
                <w:highlight w:val="none"/>
              </w:rPr>
            </w:pPr>
            <w:r>
              <w:rPr>
                <w:rFonts w:hint="eastAsia"/>
                <w:highlight w:val="none"/>
              </w:rPr>
              <w:t>公司定期汇总分析市场情况，包括行业发展情况，相关企业产品分析，竞品分析，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如：</w:t>
            </w:r>
          </w:p>
          <w:p>
            <w:pPr>
              <w:spacing w:line="360" w:lineRule="auto"/>
              <w:ind w:firstLine="420" w:firstLineChars="200"/>
              <w:rPr>
                <w:rFonts w:hint="eastAsia"/>
                <w:highlight w:val="none"/>
              </w:rPr>
            </w:pPr>
            <w:r>
              <w:rPr>
                <w:rFonts w:hint="eastAsia"/>
                <w:highlight w:val="none"/>
              </w:rPr>
              <w:t>外部因素——</w:t>
            </w:r>
            <w:r>
              <w:rPr>
                <w:rFonts w:hint="eastAsia"/>
                <w:highlight w:val="none"/>
                <w:lang w:val="en-US" w:eastAsia="zh-CN"/>
              </w:rPr>
              <w:t>国家政策</w:t>
            </w:r>
            <w:r>
              <w:rPr>
                <w:rFonts w:hint="eastAsia"/>
                <w:highlight w:val="none"/>
              </w:rPr>
              <w:t>变动、竞争对手、客户需求的变化等；</w:t>
            </w:r>
          </w:p>
          <w:p>
            <w:pPr>
              <w:spacing w:line="360" w:lineRule="auto"/>
              <w:ind w:firstLine="420" w:firstLineChars="200"/>
              <w:rPr>
                <w:rFonts w:hint="eastAsia"/>
                <w:highlight w:val="none"/>
              </w:rPr>
            </w:pPr>
            <w:r>
              <w:rPr>
                <w:rFonts w:hint="eastAsia"/>
                <w:highlight w:val="none"/>
              </w:rPr>
              <w:t>内部因素</w:t>
            </w:r>
            <w:r>
              <w:rPr>
                <w:rFonts w:hint="eastAsia"/>
                <w:highlight w:val="none"/>
                <w:lang w:eastAsia="zh-CN"/>
              </w:rPr>
              <w:t>——</w:t>
            </w:r>
            <w:r>
              <w:rPr>
                <w:rFonts w:hint="eastAsia"/>
                <w:highlight w:val="none"/>
              </w:rPr>
              <w:t>公司文化、内部管理机制的建立、人员稳定性、经验等；</w:t>
            </w:r>
          </w:p>
          <w:p>
            <w:pPr>
              <w:spacing w:line="360" w:lineRule="auto"/>
              <w:ind w:firstLine="420" w:firstLineChars="200"/>
              <w:rPr>
                <w:rFonts w:hint="eastAsia"/>
                <w:highlight w:val="none"/>
              </w:rPr>
            </w:pPr>
            <w:r>
              <w:rPr>
                <w:rFonts w:hint="eastAsia"/>
                <w:highlight w:val="none"/>
              </w:rPr>
              <w:t>这些因素包括了需要考虑的正面和负面因素或条件。</w:t>
            </w:r>
          </w:p>
          <w:p>
            <w:pPr>
              <w:spacing w:line="360" w:lineRule="auto"/>
              <w:ind w:firstLine="420" w:firstLineChars="200"/>
              <w:rPr>
                <w:rFonts w:hint="eastAsia" w:eastAsia="宋体"/>
                <w:b/>
                <w:color w:val="000000" w:themeColor="text1"/>
                <w:sz w:val="20"/>
                <w:szCs w:val="20"/>
                <w:lang w:val="en-US" w:eastAsia="zh-CN"/>
              </w:rPr>
            </w:pPr>
            <w:r>
              <w:rPr>
                <w:rFonts w:hint="eastAsia"/>
                <w:highlight w:val="none"/>
              </w:rPr>
              <w:t>公司每年根据从市场、客户、网络等搜集到的信息并结合公司自身业务运作情况进行分析，通过分析对这些内部和外部因素的相关信息进行监视和评审以确保其充分和适宜。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vMerge w:val="continue"/>
            <w:textDirection w:val="tbRlV"/>
            <w:vAlign w:val="center"/>
          </w:tcPr>
          <w:p>
            <w:pPr>
              <w:spacing w:line="360" w:lineRule="auto"/>
              <w:ind w:left="201" w:right="113" w:hanging="201" w:hangingChars="100"/>
              <w:jc w:val="center"/>
              <w:rPr>
                <w:rFonts w:ascii="宋体" w:hAnsi="宋体"/>
                <w:b/>
                <w:color w:val="000000" w:themeColor="text1"/>
                <w:sz w:val="20"/>
                <w:szCs w:val="20"/>
              </w:rPr>
            </w:pPr>
          </w:p>
        </w:tc>
        <w:tc>
          <w:tcPr>
            <w:tcW w:w="9198" w:type="dxa"/>
          </w:tcPr>
          <w:p>
            <w:pPr>
              <w:spacing w:line="360" w:lineRule="auto"/>
              <w:rPr>
                <w:rFonts w:hint="eastAsia"/>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360" w:lineRule="auto"/>
              <w:ind w:firstLine="420" w:firstLineChars="200"/>
              <w:rPr>
                <w:rFonts w:hint="default" w:ascii="Times New Roman" w:hAnsi="Times New Roman" w:cs="Times New Roman"/>
                <w:color w:val="000000"/>
                <w:szCs w:val="24"/>
              </w:rPr>
            </w:pPr>
            <w:r>
              <w:rPr>
                <w:rFonts w:hint="default" w:ascii="Times New Roman" w:hAnsi="Times New Roman" w:cs="Times New Roman"/>
                <w:color w:val="000000"/>
                <w:szCs w:val="24"/>
              </w:rPr>
              <w:t>相关方包括</w:t>
            </w:r>
            <w:r>
              <w:rPr>
                <w:rFonts w:hint="eastAsia"/>
                <w:szCs w:val="22"/>
                <w:highlight w:val="none"/>
                <w:lang w:val="en-US" w:eastAsia="zh-CN"/>
              </w:rPr>
              <w:t>主要包括顾客/最终消费者、员工、政府、外部供方、竞争对手、社会相邻单位</w:t>
            </w:r>
            <w:r>
              <w:rPr>
                <w:rFonts w:hint="default" w:ascii="Times New Roman" w:hAnsi="Times New Roman" w:cs="Times New Roman"/>
                <w:color w:val="000000"/>
                <w:szCs w:val="24"/>
              </w:rPr>
              <w:t>等。相关方期望和要求为价格、安全性、合同协议、行业规范标准等。识别的方法为：主动调查、水平对比等。检测指标或项目：顾客满意度、客户投诉率、供方评价表等。</w:t>
            </w:r>
          </w:p>
          <w:p>
            <w:pPr>
              <w:spacing w:line="360" w:lineRule="auto"/>
              <w:ind w:firstLine="420" w:firstLineChars="200"/>
              <w:rPr>
                <w:rFonts w:hint="eastAsia" w:eastAsia="宋体"/>
                <w:b/>
                <w:color w:val="000000" w:themeColor="text1"/>
                <w:sz w:val="20"/>
                <w:szCs w:val="20"/>
                <w:lang w:val="en-US" w:eastAsia="zh-CN"/>
              </w:rPr>
            </w:pPr>
            <w:r>
              <w:rPr>
                <w:rFonts w:hint="default" w:ascii="Times New Roman" w:hAnsi="Times New Roman" w:cs="Times New Roman"/>
                <w:szCs w:val="24"/>
              </w:rPr>
              <w:t>基本识别了与组织管理体系有关的相关方和要求</w:t>
            </w:r>
            <w:r>
              <w:rPr>
                <w:rFonts w:hint="default" w:ascii="Times New Roman" w:hAnsi="Times New Roman" w:cs="Times New Roman"/>
                <w:szCs w:val="24"/>
                <w:lang w:val="zh-CN"/>
              </w:rPr>
              <w:t>。</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20" w:type="dxa"/>
            <w:vMerge w:val="continue"/>
            <w:textDirection w:val="tbRlV"/>
            <w:vAlign w:val="center"/>
          </w:tcPr>
          <w:p>
            <w:pPr>
              <w:spacing w:line="360" w:lineRule="auto"/>
              <w:ind w:left="201" w:right="113" w:hanging="201" w:hangingChars="100"/>
              <w:jc w:val="center"/>
              <w:rPr>
                <w:rFonts w:ascii="宋体" w:hAnsi="宋体"/>
                <w:b/>
                <w:color w:val="000000" w:themeColor="text1"/>
                <w:sz w:val="20"/>
                <w:szCs w:val="20"/>
              </w:rPr>
            </w:pPr>
          </w:p>
        </w:tc>
        <w:tc>
          <w:tcPr>
            <w:tcW w:w="9198" w:type="dxa"/>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rPr>
                <w:rFonts w:hint="default" w:ascii="Times New Roman" w:hAnsi="Times New Roman" w:cs="Times New Roman"/>
                <w:szCs w:val="24"/>
              </w:rPr>
            </w:pPr>
            <w:r>
              <w:rPr>
                <w:rFonts w:hint="default" w:ascii="Times New Roman" w:hAnsi="Times New Roman" w:cs="Times New Roman"/>
                <w:szCs w:val="24"/>
              </w:rPr>
              <w:t>1.质量方针：</w:t>
            </w:r>
          </w:p>
          <w:p>
            <w:pPr>
              <w:spacing w:line="360" w:lineRule="auto"/>
              <w:ind w:firstLine="420" w:firstLineChars="200"/>
              <w:rPr>
                <w:rFonts w:hint="default" w:ascii="Times New Roman" w:hAnsi="Times New Roman" w:cs="Times New Roman"/>
                <w:szCs w:val="24"/>
              </w:rPr>
            </w:pPr>
            <w:r>
              <w:rPr>
                <w:rFonts w:hint="default" w:ascii="Times New Roman" w:hAnsi="Times New Roman" w:cs="Times New Roman"/>
                <w:szCs w:val="24"/>
              </w:rPr>
              <w:t>以人为本，科学管理，品质一流，用户满意</w:t>
            </w:r>
          </w:p>
          <w:p>
            <w:pPr>
              <w:spacing w:line="360" w:lineRule="auto"/>
              <w:ind w:firstLine="420" w:firstLineChars="200"/>
              <w:rPr>
                <w:rFonts w:hint="default" w:ascii="Times New Roman" w:hAnsi="Times New Roman" w:cs="Times New Roman"/>
                <w:szCs w:val="24"/>
              </w:rPr>
            </w:pPr>
            <w:r>
              <w:rPr>
                <w:rFonts w:hint="default" w:ascii="Times New Roman" w:hAnsi="Times New Roman" w:cs="Times New Roman"/>
                <w:szCs w:val="24"/>
              </w:rPr>
              <w:t>与公司的宗旨相适应：以人为本，与顾客同发展，为社会创造价值；</w:t>
            </w:r>
          </w:p>
          <w:p>
            <w:pPr>
              <w:spacing w:line="360" w:lineRule="auto"/>
              <w:ind w:firstLine="420" w:firstLineChars="200"/>
              <w:rPr>
                <w:rFonts w:hint="default" w:ascii="Times New Roman" w:hAnsi="Times New Roman" w:cs="Times New Roman"/>
                <w:szCs w:val="24"/>
              </w:rPr>
            </w:pPr>
            <w:r>
              <w:rPr>
                <w:rFonts w:hint="default" w:ascii="Times New Roman" w:hAnsi="Times New Roman" w:cs="Times New Roman"/>
                <w:szCs w:val="24"/>
              </w:rPr>
              <w:t xml:space="preserve">包括了对产品质量和顾客要求以及持续改进管理体系有效性的承诺； </w:t>
            </w:r>
          </w:p>
          <w:p>
            <w:pPr>
              <w:spacing w:line="360" w:lineRule="auto"/>
              <w:ind w:firstLine="420" w:firstLineChars="200"/>
              <w:rPr>
                <w:rFonts w:hint="default" w:ascii="Times New Roman" w:hAnsi="Times New Roman" w:cs="Times New Roman"/>
                <w:szCs w:val="24"/>
              </w:rPr>
            </w:pPr>
            <w:r>
              <w:rPr>
                <w:rFonts w:hint="default" w:ascii="Times New Roman" w:hAnsi="Times New Roman" w:cs="Times New Roman"/>
                <w:szCs w:val="24"/>
              </w:rPr>
              <w:t>提供了制定和评审质量目标的框架。</w:t>
            </w:r>
          </w:p>
          <w:p>
            <w:pPr>
              <w:spacing w:line="360" w:lineRule="auto"/>
              <w:ind w:firstLine="420" w:firstLineChars="200"/>
              <w:rPr>
                <w:b/>
                <w:color w:val="000000" w:themeColor="text1"/>
              </w:rPr>
            </w:pPr>
            <w:r>
              <w:rPr>
                <w:rFonts w:hint="default" w:ascii="Times New Roman" w:hAnsi="Times New Roman" w:cs="Times New Roman"/>
                <w:szCs w:val="24"/>
              </w:rPr>
              <w:t>方针适宜于公司现状，在管理手册中明确，通过文件发放，使员工获知，适用时提供给相关方。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20" w:type="dxa"/>
            <w:vMerge w:val="continue"/>
            <w:textDirection w:val="tbRlV"/>
            <w:vAlign w:val="center"/>
          </w:tcPr>
          <w:p>
            <w:pPr>
              <w:spacing w:line="360" w:lineRule="auto"/>
              <w:ind w:left="201" w:right="113" w:hanging="201" w:hangingChars="100"/>
              <w:jc w:val="center"/>
              <w:rPr>
                <w:rFonts w:ascii="宋体" w:hAnsi="宋体"/>
                <w:b/>
                <w:color w:val="000000" w:themeColor="text1"/>
                <w:sz w:val="20"/>
                <w:szCs w:val="20"/>
              </w:rPr>
            </w:pPr>
          </w:p>
        </w:tc>
        <w:tc>
          <w:tcPr>
            <w:tcW w:w="9198" w:type="dxa"/>
          </w:tcPr>
          <w:p>
            <w:pPr>
              <w:spacing w:line="360" w:lineRule="auto"/>
              <w:rPr>
                <w:rFonts w:hint="eastAsia"/>
                <w:b/>
                <w:color w:val="000000" w:themeColor="text1"/>
              </w:rPr>
            </w:pPr>
            <w:r>
              <w:rPr>
                <w:b/>
                <w:color w:val="000000" w:themeColor="text1"/>
              </w:rPr>
              <w:t>4、</w:t>
            </w:r>
            <w:r>
              <w:rPr>
                <w:rFonts w:hint="eastAsia"/>
                <w:b/>
                <w:color w:val="000000" w:themeColor="text1"/>
              </w:rPr>
              <w:t>风险识别与控制策划（QMS）</w:t>
            </w:r>
          </w:p>
          <w:p>
            <w:pPr>
              <w:spacing w:line="360" w:lineRule="auto"/>
              <w:ind w:firstLine="420" w:firstLineChars="200"/>
              <w:rPr>
                <w:rFonts w:hint="eastAsia"/>
                <w:lang w:val="en-US" w:eastAsia="zh-CN"/>
              </w:rPr>
            </w:pPr>
            <w:r>
              <w:rPr>
                <w:rFonts w:hint="eastAsia"/>
                <w:lang w:val="en-US" w:eastAsia="zh-CN"/>
              </w:rPr>
              <w:t>基于对4.1和4.2的考虑，分析了公司存在的风险和机遇：</w:t>
            </w:r>
          </w:p>
          <w:p>
            <w:pPr>
              <w:spacing w:line="360" w:lineRule="auto"/>
              <w:ind w:firstLine="420" w:firstLineChars="200"/>
              <w:rPr>
                <w:rFonts w:hint="default"/>
                <w:lang w:val="en-US" w:eastAsia="zh-CN"/>
              </w:rPr>
            </w:pPr>
            <w:r>
              <w:rPr>
                <w:rFonts w:hint="eastAsia"/>
                <w:lang w:val="en-US" w:eastAsia="zh-CN"/>
              </w:rPr>
              <w:t>机遇：政策影响和经济发展的走势，</w:t>
            </w:r>
            <w:r>
              <w:rPr>
                <w:rFonts w:hint="default"/>
                <w:lang w:val="en-US" w:eastAsia="zh-CN"/>
              </w:rPr>
              <w:t>对企业有较好的</w:t>
            </w:r>
            <w:r>
              <w:rPr>
                <w:rFonts w:hint="eastAsia"/>
                <w:lang w:val="en-US" w:eastAsia="zh-CN"/>
              </w:rPr>
              <w:t>的发展机遇</w:t>
            </w:r>
            <w:r>
              <w:rPr>
                <w:rFonts w:hint="default"/>
                <w:lang w:val="en-US" w:eastAsia="zh-CN"/>
              </w:rPr>
              <w:t>。</w:t>
            </w:r>
          </w:p>
          <w:p>
            <w:pPr>
              <w:spacing w:line="360" w:lineRule="auto"/>
              <w:ind w:firstLine="420" w:firstLineChars="200"/>
              <w:rPr>
                <w:rFonts w:hint="default"/>
                <w:lang w:val="en-US" w:eastAsia="zh-CN"/>
              </w:rPr>
            </w:pPr>
            <w:r>
              <w:rPr>
                <w:rFonts w:hint="eastAsia"/>
                <w:lang w:val="en-US" w:eastAsia="zh-CN"/>
              </w:rPr>
              <w:t>风险：产业政策的变化可能给公司带来发展的风险</w:t>
            </w:r>
            <w:r>
              <w:rPr>
                <w:rFonts w:hint="default"/>
                <w:lang w:val="en-US" w:eastAsia="zh-CN"/>
              </w:rPr>
              <w:t>。</w:t>
            </w:r>
          </w:p>
          <w:p>
            <w:pPr>
              <w:spacing w:line="360" w:lineRule="auto"/>
              <w:ind w:firstLine="420" w:firstLineChars="200"/>
              <w:rPr>
                <w:rFonts w:hint="eastAsia"/>
                <w:lang w:val="en-US" w:eastAsia="zh-CN"/>
              </w:rPr>
            </w:pPr>
            <w:r>
              <w:rPr>
                <w:rFonts w:hint="default"/>
                <w:lang w:val="en-US" w:eastAsia="zh-CN"/>
              </w:rPr>
              <w:t>编制有《风险和机遇的应对控制程序》，对组织内外的风险和机遇进行了策划。</w:t>
            </w:r>
            <w:r>
              <w:rPr>
                <w:rFonts w:hint="eastAsia"/>
                <w:lang w:val="en-US" w:eastAsia="zh-CN"/>
              </w:rPr>
              <w:t>介绍说，公司</w:t>
            </w:r>
            <w:r>
              <w:rPr>
                <w:rFonts w:hint="default"/>
                <w:lang w:val="en-US" w:eastAsia="zh-CN"/>
              </w:rPr>
              <w:t>识别了风险和机遇来源、风险和机遇内容、管理措施、责任部门、实时时间、评价措施等</w:t>
            </w:r>
            <w:r>
              <w:rPr>
                <w:rFonts w:hint="eastAsia"/>
                <w:lang w:val="en-US" w:eastAsia="zh-CN"/>
              </w:rPr>
              <w:t>；</w:t>
            </w:r>
          </w:p>
          <w:p>
            <w:pPr>
              <w:spacing w:line="360" w:lineRule="auto"/>
              <w:ind w:firstLine="420" w:firstLineChars="200"/>
              <w:rPr>
                <w:rFonts w:hint="eastAsia"/>
                <w:lang w:val="en-US" w:eastAsia="zh-CN"/>
              </w:rPr>
            </w:pPr>
            <w:r>
              <w:rPr>
                <w:rFonts w:hint="eastAsia"/>
                <w:lang w:val="en-US" w:eastAsia="zh-CN"/>
              </w:rPr>
              <w:t>为应对相应风险和机遇，公司依据GB/T19001-2016标准的要求并结合本公司的具体情况，采取PDCA的过程方法，建立、实施、保持并持续改进质量管理体系。</w:t>
            </w:r>
          </w:p>
          <w:p>
            <w:pPr>
              <w:spacing w:line="360" w:lineRule="auto"/>
              <w:ind w:firstLine="420" w:firstLineChars="200"/>
              <w:rPr>
                <w:rFonts w:hint="eastAsia" w:eastAsia="宋体"/>
                <w:b/>
                <w:color w:val="000000" w:themeColor="text1"/>
                <w:lang w:val="en-US" w:eastAsia="zh-CN"/>
              </w:rPr>
            </w:pPr>
            <w:r>
              <w:rPr>
                <w:rFonts w:hint="eastAsia" w:ascii="Times New Roman" w:hAnsi="Times New Roman" w:eastAsia="宋体" w:cs="Times New Roman"/>
                <w:szCs w:val="22"/>
                <w:lang w:val="en-US" w:eastAsia="zh-CN"/>
              </w:rPr>
              <w:t>质量管理体系于2020年11月10日建立并正式实施。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ascii="Times New Roman" w:hAnsi="Times New Roman" w:eastAsia="宋体" w:cs="Times New Roman"/>
                <w:b/>
                <w:color w:val="000000" w:themeColor="text1"/>
              </w:rPr>
            </w:pPr>
            <w:r>
              <w:rPr>
                <w:rFonts w:hint="eastAsia" w:ascii="Times New Roman" w:hAnsi="Times New Roman" w:eastAsia="宋体" w:cs="Times New Roman"/>
                <w:b/>
                <w:color w:val="000000" w:themeColor="text1"/>
              </w:rPr>
              <w:t>5</w:t>
            </w:r>
            <w:r>
              <w:rPr>
                <w:rFonts w:hint="eastAsia" w:ascii="Times New Roman" w:hAnsi="Times New Roman" w:eastAsia="宋体" w:cs="Times New Roman"/>
                <w:b/>
                <w:color w:val="000000" w:themeColor="text1"/>
                <w:lang w:eastAsia="zh-CN"/>
              </w:rPr>
              <w:t>、</w:t>
            </w:r>
            <w:r>
              <w:rPr>
                <w:rFonts w:ascii="Times New Roman" w:hAnsi="Times New Roman" w:eastAsia="宋体" w:cs="Times New Roman"/>
                <w:b/>
                <w:color w:val="000000" w:themeColor="text1"/>
              </w:rPr>
              <w:t>QMS</w:t>
            </w:r>
            <w:r>
              <w:rPr>
                <w:rFonts w:hint="eastAsia" w:ascii="Times New Roman" w:hAnsi="Times New Roman" w:eastAsia="宋体" w:cs="Times New Roman"/>
                <w:b/>
                <w:color w:val="000000" w:themeColor="text1"/>
              </w:rPr>
              <w:t>过程</w:t>
            </w:r>
          </w:p>
          <w:p>
            <w:pPr>
              <w:tabs>
                <w:tab w:val="left" w:pos="540"/>
              </w:tabs>
              <w:spacing w:line="360" w:lineRule="auto"/>
              <w:ind w:left="201" w:hanging="210" w:hangingChars="100"/>
            </w:pPr>
            <w:r>
              <w:rPr>
                <w:rFonts w:hint="eastAsia"/>
              </w:rPr>
              <w:t>质量管理体系过程有：接受采购人的委托→编制招标文件→评审招标文件→发布招标公告→接受投标人报名→开标前抽取评标专家→接收投标文件→现场开标→评标定标→</w:t>
            </w:r>
            <w:r>
              <w:t>发布中标结果通知书</w:t>
            </w:r>
          </w:p>
          <w:p>
            <w:pPr>
              <w:tabs>
                <w:tab w:val="left" w:pos="540"/>
              </w:tabs>
              <w:spacing w:line="360" w:lineRule="auto"/>
              <w:ind w:left="201" w:hanging="210" w:hangingChars="100"/>
            </w:pPr>
            <w:r>
              <w:rPr>
                <w:rFonts w:hint="eastAsia"/>
              </w:rPr>
              <w:t>其中关键过程有 制定招标文件、开标过程</w:t>
            </w:r>
          </w:p>
          <w:p>
            <w:pPr>
              <w:tabs>
                <w:tab w:val="left" w:pos="540"/>
              </w:tabs>
              <w:spacing w:line="360" w:lineRule="auto"/>
              <w:ind w:left="201" w:hanging="210" w:hangingChars="100"/>
              <w:rPr>
                <w:rFonts w:hint="eastAsia"/>
                <w:lang w:val="en-US" w:eastAsia="zh-CN"/>
              </w:rPr>
            </w:pPr>
            <w:r>
              <w:rPr>
                <w:rFonts w:hint="eastAsia"/>
              </w:rPr>
              <w:t xml:space="preserve">需要确认过程  </w:t>
            </w:r>
            <w:r>
              <w:rPr>
                <w:rFonts w:hint="eastAsia"/>
                <w:lang w:val="en-US" w:eastAsia="zh-CN"/>
              </w:rPr>
              <w:t>/</w:t>
            </w:r>
          </w:p>
          <w:p>
            <w:pPr>
              <w:tabs>
                <w:tab w:val="left" w:pos="540"/>
              </w:tabs>
              <w:spacing w:line="360" w:lineRule="auto"/>
              <w:ind w:left="201" w:hanging="210" w:hangingChars="100"/>
            </w:pPr>
            <w: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rPr>
              <w:t xml:space="preserve">不适用条款是  </w:t>
            </w:r>
            <w:r>
              <w:rPr>
                <w:rFonts w:hint="eastAsia"/>
                <w:lang w:val="en-US" w:eastAsia="zh-CN"/>
              </w:rPr>
              <w:t>8.3</w:t>
            </w:r>
            <w:r>
              <w:rPr>
                <w:rFonts w:hint="eastAsia"/>
              </w:rPr>
              <w:t xml:space="preserve">  ，不适用理由：本公司招标代理及其所涉及的相关管理活动均</w:t>
            </w:r>
            <w:r>
              <w:rPr>
                <w:rFonts w:hint="eastAsia"/>
                <w:lang w:val="en-US" w:eastAsia="zh-CN"/>
              </w:rPr>
              <w:t>按照国家相关法律法规</w:t>
            </w:r>
            <w:r>
              <w:rPr>
                <w:rFonts w:hint="eastAsia"/>
              </w:rPr>
              <w:t>及客户提出的要求</w:t>
            </w:r>
            <w:r>
              <w:rPr>
                <w:rFonts w:hint="eastAsia"/>
                <w:lang w:val="en-US" w:eastAsia="zh-CN"/>
              </w:rPr>
              <w:t>进行</w:t>
            </w:r>
            <w:r>
              <w:rPr>
                <w:rFonts w:hint="eastAsia"/>
              </w:rPr>
              <w:t>，其服务过程中不涉及的标准条款内容是：GB/T19001-2016/ISO 9001：2015标准中的8.3条款。其不适用性不影响公司的服务。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60" w:lineRule="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60" w:lineRule="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60" w:lineRule="auto"/>
              <w:rPr>
                <w:rFonts w:hint="eastAsia" w:eastAsia="宋体"/>
                <w:b/>
                <w:color w:val="000000" w:themeColor="text1"/>
                <w:sz w:val="20"/>
                <w:szCs w:val="20"/>
                <w:lang w:val="en-US" w:eastAsia="zh-CN"/>
              </w:rPr>
            </w:pPr>
            <w:r>
              <w:rPr>
                <w:rFonts w:hint="eastAsia" w:ascii="宋体" w:hAnsi="宋体"/>
                <w:b/>
                <w:color w:val="000000" w:themeColor="text1"/>
                <w:spacing w:val="-8"/>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60" w:lineRule="auto"/>
              <w:ind w:left="211" w:hanging="211" w:hangingChars="100"/>
              <w:rPr>
                <w:rFonts w:ascii="宋体" w:hAnsi="宋体"/>
                <w:b/>
                <w:color w:val="000000" w:themeColor="text1"/>
                <w:szCs w:val="21"/>
              </w:rPr>
            </w:pPr>
          </w:p>
          <w:p>
            <w:pPr>
              <w:pStyle w:val="11"/>
              <w:numPr>
                <w:ilvl w:val="0"/>
                <w:numId w:val="2"/>
              </w:numPr>
              <w:tabs>
                <w:tab w:val="left" w:pos="540"/>
              </w:tabs>
              <w:spacing w:line="36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pStyle w:val="11"/>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1"/>
              <w:numPr>
                <w:ilvl w:val="0"/>
                <w:numId w:val="2"/>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360" w:lineRule="auto"/>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60" w:lineRule="auto"/>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ind w:firstLine="420" w:firstLineChars="20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质量目标：</w:t>
            </w:r>
          </w:p>
          <w:p>
            <w:pPr>
              <w:spacing w:line="360" w:lineRule="auto"/>
              <w:ind w:firstLine="420" w:firstLineChars="20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招标代理完成及时率100%；</w:t>
            </w:r>
          </w:p>
          <w:p>
            <w:pPr>
              <w:spacing w:line="360" w:lineRule="auto"/>
              <w:ind w:firstLine="420" w:firstLineChars="20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顾客满意度94分以上。</w:t>
            </w:r>
          </w:p>
          <w:p>
            <w:pPr>
              <w:spacing w:line="360" w:lineRule="auto"/>
              <w:ind w:firstLine="420" w:firstLineChars="200"/>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制定“公司目标实施措施表”，对目标实现进行了策划；并将目标分解到各部门；</w:t>
            </w:r>
          </w:p>
          <w:p>
            <w:pPr>
              <w:spacing w:line="360" w:lineRule="auto"/>
              <w:ind w:firstLine="420" w:firstLineChars="200"/>
              <w:rPr>
                <w:rFonts w:ascii="宋体" w:hAnsi="宋体"/>
                <w:b/>
                <w:color w:val="000000" w:themeColor="text1"/>
              </w:rPr>
            </w:pPr>
            <w:r>
              <w:rPr>
                <w:rFonts w:hint="eastAsia" w:ascii="Times New Roman" w:hAnsi="Times New Roman" w:eastAsia="宋体" w:cs="Times New Roman"/>
                <w:szCs w:val="24"/>
                <w:lang w:val="en-US" w:eastAsia="zh-CN"/>
              </w:rPr>
              <w:t xml:space="preserve">“质量目标考核表”显示对目标完成情况进行了考核，均完成；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20" w:firstLineChars="200"/>
              <w:rPr>
                <w:rFonts w:hint="default" w:ascii="Times New Roman" w:hAnsi="Times New Roman" w:eastAsia="宋体" w:cs="Times New Roman"/>
                <w:szCs w:val="22"/>
                <w:lang w:val="en-US" w:eastAsia="zh-CN"/>
              </w:rPr>
            </w:pPr>
            <w:r>
              <w:rPr>
                <w:rFonts w:hint="default" w:ascii="Times New Roman" w:hAnsi="Times New Roman" w:eastAsia="宋体" w:cs="Times New Roman"/>
                <w:szCs w:val="22"/>
                <w:lang w:val="en-US" w:eastAsia="zh-CN"/>
              </w:rPr>
              <w:t>体系文件包括：</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管理手册——A/0，2020年11月10日</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程序文件——A/0，2020年11月10日</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管理文件——编制有政府采购文件编制质量控制制度、政府采购活动操作规程、政府采购档案管理制度、政府采购信息管理制度等。</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建立有外来文件清单，收集《中华人民共和国政府采购法》、《政府采购法实施条例》、《政府采购货物和服务招标投标管理办法》、《政府采购非招标采购方式管理办法》、《政府采购竞争性磋商采购方式管理暂行办法》、《中华人民共和国招投标法》等相关标准和法律。</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编制有《文件控制程序》、政府采购档案管理制度；</w:t>
            </w:r>
          </w:p>
          <w:p>
            <w:pPr>
              <w:spacing w:line="360" w:lineRule="auto"/>
              <w:ind w:firstLine="420" w:firstLineChars="200"/>
              <w:rPr>
                <w:rFonts w:hint="default" w:ascii="Times New Roman" w:hAnsi="Times New Roman" w:eastAsia="宋体" w:cs="Times New Roman"/>
                <w:szCs w:val="22"/>
                <w:lang w:val="en-US" w:eastAsia="zh-CN"/>
              </w:rPr>
            </w:pPr>
            <w:r>
              <w:rPr>
                <w:rFonts w:hint="default" w:ascii="Times New Roman" w:hAnsi="Times New Roman" w:eastAsia="宋体" w:cs="Times New Roman"/>
                <w:szCs w:val="22"/>
                <w:lang w:val="en-US" w:eastAsia="zh-CN"/>
              </w:rPr>
              <w:t>文件化管理体系目前基本满足要求。</w:t>
            </w:r>
          </w:p>
          <w:p>
            <w:pPr>
              <w:spacing w:line="360" w:lineRule="auto"/>
              <w:ind w:firstLine="420" w:firstLineChars="200"/>
              <w:rPr>
                <w:rFonts w:hint="default" w:ascii="Times New Roman" w:hAnsi="Times New Roman" w:eastAsia="宋体" w:cs="Times New Roman"/>
                <w:szCs w:val="22"/>
                <w:lang w:val="en-US" w:eastAsia="zh-CN"/>
              </w:rPr>
            </w:pPr>
            <w:r>
              <w:rPr>
                <w:rFonts w:hint="default" w:ascii="Times New Roman" w:hAnsi="Times New Roman" w:eastAsia="宋体" w:cs="Times New Roman"/>
                <w:szCs w:val="22"/>
                <w:lang w:val="en-US" w:eastAsia="zh-CN"/>
              </w:rPr>
              <w:t>——在编制体系文件时，对文件进行标识，主要有文件名称/编制部门/批准日期/文件编号等，经查管理手册/程序文件基本符合标准要求。</w:t>
            </w:r>
          </w:p>
          <w:p>
            <w:pPr>
              <w:spacing w:line="360" w:lineRule="auto"/>
              <w:ind w:firstLine="420" w:firstLineChars="200"/>
              <w:rPr>
                <w:rFonts w:hint="default" w:ascii="Times New Roman" w:hAnsi="Times New Roman" w:eastAsia="宋体" w:cs="Times New Roman"/>
                <w:szCs w:val="22"/>
                <w:lang w:val="en-US" w:eastAsia="zh-CN"/>
              </w:rPr>
            </w:pPr>
            <w:r>
              <w:rPr>
                <w:rFonts w:hint="default" w:ascii="Times New Roman" w:hAnsi="Times New Roman" w:eastAsia="宋体" w:cs="Times New Roman"/>
                <w:szCs w:val="22"/>
                <w:lang w:val="en-US" w:eastAsia="zh-CN"/>
              </w:rPr>
              <w:t>管理体系文件经过总经理审批实施发布，经评审，目前文件和目录均适用。符合要求。</w:t>
            </w:r>
          </w:p>
          <w:p>
            <w:pPr>
              <w:spacing w:line="360" w:lineRule="auto"/>
              <w:ind w:firstLine="420" w:firstLineChars="200"/>
              <w:rPr>
                <w:rFonts w:hint="default" w:ascii="Times New Roman" w:hAnsi="Times New Roman" w:eastAsia="宋体" w:cs="Times New Roman"/>
                <w:szCs w:val="22"/>
                <w:lang w:val="en-US" w:eastAsia="zh-CN"/>
              </w:rPr>
            </w:pPr>
            <w:r>
              <w:rPr>
                <w:rFonts w:hint="default" w:ascii="Times New Roman" w:hAnsi="Times New Roman" w:eastAsia="宋体" w:cs="Times New Roman"/>
                <w:szCs w:val="22"/>
                <w:lang w:val="en-US" w:eastAsia="zh-CN"/>
              </w:rPr>
              <w:t>——编制《文件化信息管理控制程序》，内容符合基本标准要求。</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成文信息标识清晰，填写基本齐全、清晰，成文信息在文件柜中分类编目保存，成文信息的贮存和保护符合要求，检索方便。</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成文信息由各部门负责保存，以便查阅。</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设立有档案室，档案文件在档案室内的铁质文件柜中存放，专人管理，档案室门窗封闭，</w:t>
            </w:r>
            <w:r>
              <w:rPr>
                <w:rFonts w:hint="default" w:ascii="Times New Roman" w:hAnsi="Times New Roman" w:eastAsia="宋体" w:cs="Times New Roman"/>
                <w:szCs w:val="22"/>
                <w:lang w:val="en-US" w:eastAsia="zh-CN"/>
              </w:rPr>
              <w:t>能防潮、防虫蛀、防丢失、防水、防火，成文信息的贮存和保护符合要求，检索方便。</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配置有空调和照明，温湿度适宜。配置有干粉灭火器，建议增配二氧化碳灭火器。</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电子文件储存在电脑中。</w:t>
            </w:r>
          </w:p>
          <w:p>
            <w:pPr>
              <w:spacing w:line="360" w:lineRule="auto"/>
              <w:ind w:firstLine="420" w:firstLineChars="200"/>
              <w:rPr>
                <w:rFonts w:ascii="宋体" w:hAnsi="宋体"/>
                <w:b/>
                <w:color w:val="000000" w:themeColor="text1"/>
                <w:sz w:val="20"/>
                <w:szCs w:val="20"/>
              </w:rPr>
            </w:pPr>
            <w:r>
              <w:rPr>
                <w:rFonts w:hint="default" w:ascii="Times New Roman" w:hAnsi="Times New Roman" w:eastAsia="宋体" w:cs="Times New Roman"/>
                <w:szCs w:val="22"/>
                <w:lang w:val="en-US" w:eastAsia="zh-CN"/>
              </w:rPr>
              <w:t>经查，基本符合标准要求。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20" w:type="dxa"/>
            <w:vMerge w:val="restart"/>
            <w:textDirection w:val="tbRlV"/>
            <w:vAlign w:val="center"/>
          </w:tcPr>
          <w:p>
            <w:pPr>
              <w:spacing w:line="360" w:lineRule="auto"/>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60" w:lineRule="auto"/>
              <w:ind w:firstLine="420" w:firstLineChars="200"/>
              <w:rPr>
                <w:rFonts w:hint="default" w:ascii="宋体" w:hAnsi="宋体"/>
                <w:b/>
                <w:color w:val="000000" w:themeColor="text1"/>
                <w:sz w:val="20"/>
                <w:szCs w:val="20"/>
                <w:lang w:val="en-US"/>
              </w:rPr>
            </w:pPr>
            <w:r>
              <w:rPr>
                <w:rFonts w:hint="eastAsia"/>
                <w:color w:val="auto"/>
                <w:szCs w:val="22"/>
                <w:highlight w:val="none"/>
                <w:lang w:val="en-US" w:eastAsia="zh-CN"/>
              </w:rPr>
              <w:t>公司现有十余人，能满足业务开展的需要。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ind w:firstLine="420" w:firstLineChars="200"/>
              <w:rPr>
                <w:rFonts w:ascii="宋体" w:hAnsi="宋体"/>
                <w:b/>
                <w:color w:val="000000" w:themeColor="text1"/>
                <w:sz w:val="20"/>
                <w:szCs w:val="20"/>
              </w:rPr>
            </w:pPr>
            <w:r>
              <w:rPr>
                <w:rFonts w:hint="eastAsia"/>
                <w:color w:val="auto"/>
                <w:szCs w:val="22"/>
                <w:highlight w:val="none"/>
                <w:lang w:val="en-US" w:eastAsia="zh-CN"/>
              </w:rPr>
              <w:t>主要设备有投影仪、打印机、台式电脑和笔记本电脑等。</w:t>
            </w:r>
          </w:p>
          <w:p>
            <w:pPr>
              <w:spacing w:line="360" w:lineRule="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ind w:firstLine="420" w:firstLineChars="200"/>
              <w:rPr>
                <w:rFonts w:hint="eastAsia"/>
                <w:lang w:val="en-US" w:eastAsia="zh-CN"/>
              </w:rPr>
            </w:pPr>
            <w:r>
              <w:rPr>
                <w:rFonts w:hint="eastAsia"/>
                <w:lang w:val="en-US" w:eastAsia="zh-CN"/>
              </w:rPr>
              <w:t>办公环境良好，配置有办公设备。自然通风，温度、湿度、采光等满足要求；配置有空调；开标室3间，均设有视频监控。</w:t>
            </w:r>
          </w:p>
          <w:p>
            <w:pPr>
              <w:spacing w:line="360" w:lineRule="auto"/>
              <w:ind w:firstLine="396" w:firstLineChars="200"/>
              <w:rPr>
                <w:rFonts w:ascii="宋体" w:hAnsi="宋体"/>
                <w:b/>
                <w:color w:val="000000" w:themeColor="text1"/>
                <w:sz w:val="20"/>
                <w:szCs w:val="20"/>
              </w:rPr>
            </w:pPr>
            <w:r>
              <w:rPr>
                <w:rFonts w:hint="eastAsia" w:ascii="宋体" w:hAnsi="宋体" w:cs="Arial"/>
                <w:spacing w:val="-6"/>
                <w:sz w:val="21"/>
                <w:szCs w:val="21"/>
                <w:lang w:val="en-US" w:eastAsia="zh-CN"/>
              </w:rPr>
              <w:t>员工关系和谐。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rPr>
                <w:rFonts w:hint="eastAsia" w:ascii="宋体" w:hAnsi="宋体" w:eastAsia="宋体"/>
                <w:b/>
                <w:color w:val="000000" w:themeColor="text1"/>
                <w:sz w:val="20"/>
                <w:szCs w:val="20"/>
                <w:lang w:val="en-US" w:eastAsia="zh-CN"/>
              </w:rPr>
            </w:pPr>
            <w:r>
              <w:rPr>
                <w:rFonts w:hint="eastAsia" w:ascii="Times New Roman" w:hAnsi="Times New Roman" w:eastAsia="宋体" w:cs="Times New Roman"/>
                <w:szCs w:val="22"/>
                <w:lang w:val="en-US" w:eastAsia="zh-CN"/>
              </w:rPr>
              <w:t xml:space="preserve">    本公司主要监视装置是视频监控装置，测量装置是顾客满意度调查表。正常使用和维护。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ind w:firstLine="420" w:firstLineChars="200"/>
              <w:rPr>
                <w:rFonts w:ascii="宋体" w:hAnsi="宋体"/>
                <w:b/>
                <w:color w:val="000000" w:themeColor="text1"/>
                <w:sz w:val="20"/>
                <w:szCs w:val="20"/>
              </w:rPr>
            </w:pPr>
            <w:r>
              <w:rPr>
                <w:rFonts w:hint="eastAsia" w:ascii="Times New Roman" w:hAnsi="Times New Roman" w:eastAsia="宋体" w:cs="Times New Roman"/>
                <w:szCs w:val="22"/>
                <w:lang w:val="en-US" w:eastAsia="zh-CN"/>
              </w:rPr>
              <w:t>公司的组织知识主要包括：收集的各种知识、法律法规以及转换形成各种规章制度等，积累的管理制度、体系文件、支持性文件、各种记录表单、外部学习的资料、从顾客或外部供方收集的知识等；公司把组织知识用于指导公司的日常工作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360" w:lineRule="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360" w:lineRule="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20" w:type="dxa"/>
            <w:vMerge w:val="restart"/>
            <w:textDirection w:val="tbRlV"/>
            <w:vAlign w:val="center"/>
          </w:tcPr>
          <w:p>
            <w:pPr>
              <w:spacing w:line="360" w:lineRule="auto"/>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firstLine="420" w:firstLineChars="200"/>
              <w:rPr>
                <w:rFonts w:hint="eastAsia" w:eastAsia="宋体"/>
                <w:b/>
                <w:color w:val="000000" w:themeColor="text1"/>
                <w:sz w:val="20"/>
                <w:szCs w:val="20"/>
                <w:lang w:val="en-US" w:eastAsia="zh-CN"/>
              </w:rPr>
            </w:pPr>
            <w:r>
              <w:rPr>
                <w:rFonts w:hint="eastAsia" w:ascii="Times New Roman" w:hAnsi="Times New Roman" w:cs="Times New Roman" w:eastAsiaTheme="minorEastAsia"/>
                <w:sz w:val="21"/>
                <w:szCs w:val="21"/>
                <w:lang w:val="en-US" w:eastAsia="zh-CN"/>
              </w:rPr>
              <w:t>方针符合组织的宗旨，形成文件传达到全体员工，确保得到有效控制，使全体员工正确理解并坚决执行，且应定期对其适宜性进行评审。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ascii="楷体_GB2312" w:eastAsia="楷体_GB2312"/>
                <w:b/>
                <w:color w:val="000000" w:themeColor="text1"/>
                <w:sz w:val="20"/>
                <w:szCs w:val="20"/>
              </w:rPr>
            </w:pP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内部沟通的情况：内部沟通方式：借助于会议、电话、口头交流等方式使全体员工达到沟通和理解</w:t>
            </w:r>
          </w:p>
          <w:p>
            <w:pPr>
              <w:spacing w:line="360" w:lineRule="auto"/>
              <w:rPr>
                <w:rFonts w:hint="eastAsia" w:ascii="楷体_GB2312" w:eastAsia="楷体_GB2312"/>
                <w:b/>
                <w:color w:val="000000" w:themeColor="text1"/>
                <w:sz w:val="21"/>
                <w:szCs w:val="21"/>
                <w:lang w:val="en-US" w:eastAsia="zh-CN"/>
              </w:rPr>
            </w:pPr>
            <w:r>
              <w:rPr>
                <w:rFonts w:hint="eastAsia" w:ascii="楷体_GB2312" w:eastAsia="楷体_GB2312"/>
                <w:b/>
                <w:color w:val="000000" w:themeColor="text1"/>
                <w:sz w:val="21"/>
                <w:szCs w:val="21"/>
              </w:rPr>
              <w:t xml:space="preserve">                内部沟通的效果：</w:t>
            </w:r>
            <w:r>
              <w:rPr>
                <w:rFonts w:hint="eastAsia" w:ascii="楷体_GB2312" w:eastAsia="楷体_GB2312"/>
                <w:b/>
                <w:color w:val="000000" w:themeColor="text1"/>
                <w:sz w:val="21"/>
                <w:szCs w:val="21"/>
                <w:lang w:val="en-US" w:eastAsia="zh-CN"/>
              </w:rPr>
              <w:t>有效</w:t>
            </w:r>
          </w:p>
          <w:p>
            <w:pPr>
              <w:spacing w:line="360" w:lineRule="auto"/>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组织对外联络，关注顾客的感受情况（QMS）：顾客满意度评价、合同等</w:t>
            </w:r>
          </w:p>
          <w:p>
            <w:pPr>
              <w:spacing w:line="360" w:lineRule="auto"/>
              <w:rPr>
                <w:rFonts w:ascii="楷体_GB2312" w:eastAsia="楷体_GB2312"/>
                <w:b/>
                <w:color w:val="000000" w:themeColor="text1"/>
                <w:sz w:val="20"/>
                <w:szCs w:val="20"/>
              </w:rPr>
            </w:pP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360" w:lineRule="auto"/>
              <w:rPr>
                <w:rFonts w:ascii="楷体_GB2312" w:eastAsia="楷体_GB2312"/>
                <w:b/>
                <w:color w:val="000000" w:themeColor="text1"/>
                <w:sz w:val="20"/>
                <w:szCs w:val="20"/>
              </w:rPr>
            </w:pP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360" w:lineRule="auto"/>
              <w:rPr>
                <w:rFonts w:ascii="楷体_GB2312" w:eastAsia="楷体_GB2312"/>
                <w:b/>
                <w:color w:val="000000" w:themeColor="text1"/>
                <w:sz w:val="20"/>
                <w:szCs w:val="20"/>
              </w:rPr>
            </w:pP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360" w:lineRule="auto"/>
              <w:rPr>
                <w:rFonts w:ascii="楷体_GB2312" w:eastAsia="楷体_GB2312"/>
                <w:b/>
                <w:color w:val="000000" w:themeColor="text1"/>
                <w:szCs w:val="21"/>
              </w:rPr>
            </w:pP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策划了服务提供流程：</w:t>
            </w:r>
          </w:p>
          <w:p>
            <w:pPr>
              <w:spacing w:line="360" w:lineRule="auto"/>
              <w:ind w:firstLine="420" w:firstLineChars="200"/>
              <w:rPr>
                <w:rFonts w:hint="default"/>
                <w:szCs w:val="22"/>
                <w:lang w:val="en-US" w:eastAsia="zh-CN"/>
              </w:rPr>
            </w:pPr>
            <w:r>
              <w:rPr>
                <w:rFonts w:hint="eastAsia" w:ascii="宋体" w:hAnsi="宋体"/>
              </w:rPr>
              <w:t>接受采购人的委托→编制招标文件→评审招标文件→发布招标公告→接受投标人报名→开标前抽取评标专家→接收投标文件→现场开标→评标定标→</w:t>
            </w:r>
            <w:r>
              <w:rPr>
                <w:rFonts w:ascii="宋体" w:hAnsi="宋体"/>
              </w:rPr>
              <w:t>发布中标结果通知书</w:t>
            </w:r>
            <w:r>
              <w:rPr>
                <w:rFonts w:hint="eastAsia" w:ascii="宋体" w:hAnsi="宋体"/>
              </w:rPr>
              <w:t>；</w:t>
            </w:r>
          </w:p>
          <w:p>
            <w:pPr>
              <w:spacing w:line="360" w:lineRule="auto"/>
              <w:ind w:firstLine="420" w:firstLineChars="200"/>
              <w:rPr>
                <w:rFonts w:hint="eastAsia"/>
                <w:szCs w:val="22"/>
                <w:lang w:val="en-US" w:eastAsia="zh-CN"/>
              </w:rPr>
            </w:pPr>
            <w:r>
              <w:rPr>
                <w:rFonts w:hint="eastAsia"/>
                <w:szCs w:val="22"/>
                <w:lang w:val="en-US" w:eastAsia="zh-CN"/>
              </w:rPr>
              <w:t>关键过程有：</w:t>
            </w:r>
            <w:r>
              <w:rPr>
                <w:rFonts w:hint="eastAsia" w:ascii="宋体" w:hAnsi="宋体"/>
              </w:rPr>
              <w:t>制定招标文件、开标过程</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b w:val="0"/>
                <w:bCs w:val="0"/>
                <w:szCs w:val="22"/>
                <w:lang w:val="en-US" w:eastAsia="zh-CN"/>
              </w:rPr>
            </w:pPr>
            <w:r>
              <w:rPr>
                <w:rFonts w:hint="eastAsia"/>
                <w:b w:val="0"/>
                <w:bCs w:val="0"/>
                <w:szCs w:val="22"/>
                <w:lang w:val="en-US" w:eastAsia="zh-CN"/>
              </w:rPr>
              <w:t>编制有政府采购文件编制质量控制制度、政府采购活动操作规程进行控制。</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w:t>
            </w:r>
            <w:r>
              <w:rPr>
                <w:rFonts w:hint="eastAsia" w:ascii="宋体" w:hAnsi="宋体" w:cs="Arial"/>
                <w:spacing w:val="-6"/>
                <w:sz w:val="21"/>
                <w:szCs w:val="21"/>
                <w:lang w:val="en-US" w:eastAsia="zh-CN"/>
              </w:rPr>
              <w:t>招标文件的确认、开标评审</w:t>
            </w:r>
            <w:r>
              <w:rPr>
                <w:rFonts w:hint="eastAsia" w:ascii="宋体" w:hAnsi="宋体" w:eastAsia="宋体" w:cs="宋体"/>
                <w:sz w:val="21"/>
                <w:szCs w:val="21"/>
                <w:lang w:val="en-US" w:eastAsia="zh-CN"/>
              </w:rPr>
              <w:t>等过程对</w:t>
            </w:r>
            <w:r>
              <w:rPr>
                <w:rFonts w:hint="eastAsia" w:ascii="宋体" w:hAnsi="宋体" w:cs="宋体"/>
                <w:sz w:val="21"/>
                <w:szCs w:val="21"/>
                <w:lang w:val="en-US" w:eastAsia="zh-CN"/>
              </w:rPr>
              <w:t>服务</w:t>
            </w:r>
            <w:r>
              <w:rPr>
                <w:rFonts w:hint="eastAsia" w:ascii="宋体" w:hAnsi="宋体" w:eastAsia="宋体" w:cs="宋体"/>
                <w:sz w:val="21"/>
                <w:szCs w:val="21"/>
                <w:lang w:val="en-US" w:eastAsia="zh-CN"/>
              </w:rPr>
              <w:t>质量等进行监控。</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公司按照制定的程序、规程、管理制度等文件对设计开发过程、系统集成过程、采购过程、销售过程、检验与交付过程、绩效分析、评价与改进等过程实施了过程控制。</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420" w:firstLineChars="200"/>
              <w:textAlignment w:val="baseline"/>
              <w:rPr>
                <w:b/>
                <w:color w:val="000000" w:themeColor="text1"/>
                <w:sz w:val="20"/>
                <w:szCs w:val="20"/>
              </w:rPr>
            </w:pPr>
            <w:r>
              <w:rPr>
                <w:rFonts w:hint="eastAsia" w:ascii="宋体" w:hAnsi="宋体" w:eastAsia="宋体" w:cs="宋体"/>
                <w:sz w:val="21"/>
                <w:szCs w:val="21"/>
                <w:lang w:val="en-US" w:eastAsia="zh-CN"/>
              </w:rPr>
              <w:t>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b/>
                <w:color w:val="000000" w:themeColor="text1"/>
                <w:sz w:val="20"/>
                <w:szCs w:val="20"/>
              </w:rPr>
            </w:pPr>
            <w:r>
              <w:rPr>
                <w:rFonts w:hint="eastAsia"/>
                <w:lang w:val="en-US" w:eastAsia="zh-CN"/>
              </w:rPr>
              <w:t>招标文件、政府采购法实施条例、政府采购货物和服务招标投标管理办法、政府采购非招标采购方式管理办法、政府采购竞争性磋商采购方式管理暂行办法、中华人民共和国招投标法等法规</w:t>
            </w:r>
          </w:p>
          <w:p>
            <w:pPr>
              <w:spacing w:line="360" w:lineRule="auto"/>
              <w:rPr>
                <w:b/>
                <w:color w:val="000000" w:themeColor="text1"/>
                <w:sz w:val="20"/>
                <w:szCs w:val="20"/>
              </w:rPr>
            </w:pPr>
          </w:p>
          <w:p>
            <w:pPr>
              <w:spacing w:line="360" w:lineRule="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01" w:firstLineChars="100"/>
              <w:rPr>
                <w:b/>
                <w:color w:val="000000" w:themeColor="text1"/>
                <w:sz w:val="20"/>
                <w:szCs w:val="20"/>
              </w:rPr>
            </w:pPr>
            <w:r>
              <w:rPr>
                <w:rFonts w:hint="eastAsia"/>
                <w:b/>
                <w:color w:val="000000" w:themeColor="text1"/>
                <w:sz w:val="20"/>
                <w:szCs w:val="20"/>
                <w:lang w:val="en-US" w:eastAsia="zh-CN"/>
              </w:rPr>
              <w:t>/</w:t>
            </w:r>
          </w:p>
          <w:p>
            <w:pPr>
              <w:spacing w:line="360" w:lineRule="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ind w:firstLine="420" w:firstLineChars="200"/>
              <w:rPr>
                <w:rFonts w:hint="default" w:ascii="Times New Roman" w:hAnsi="Times New Roman" w:eastAsia="宋体" w:cs="Times New Roman"/>
                <w:color w:val="auto"/>
                <w:szCs w:val="22"/>
                <w:lang w:val="en-US" w:eastAsia="zh-CN"/>
              </w:rPr>
            </w:pPr>
            <w:r>
              <w:rPr>
                <w:rFonts w:hint="default" w:ascii="Times New Roman" w:hAnsi="Times New Roman" w:eastAsia="宋体" w:cs="Times New Roman"/>
                <w:color w:val="auto"/>
                <w:szCs w:val="22"/>
                <w:lang w:val="en-US" w:eastAsia="zh-CN"/>
              </w:rPr>
              <w:t>公司</w:t>
            </w:r>
            <w:r>
              <w:rPr>
                <w:rFonts w:hint="eastAsia" w:ascii="Times New Roman" w:hAnsi="Times New Roman" w:eastAsia="宋体" w:cs="Times New Roman"/>
                <w:color w:val="auto"/>
                <w:szCs w:val="22"/>
                <w:lang w:val="en-US" w:eastAsia="zh-CN"/>
              </w:rPr>
              <w:t>编制有</w:t>
            </w:r>
            <w:r>
              <w:rPr>
                <w:rFonts w:hint="default" w:ascii="Times New Roman" w:hAnsi="Times New Roman" w:eastAsia="宋体" w:cs="Times New Roman"/>
                <w:color w:val="auto"/>
                <w:szCs w:val="22"/>
                <w:lang w:val="en-US" w:eastAsia="zh-CN"/>
              </w:rPr>
              <w:t>《不合格品控制程序》</w:t>
            </w:r>
            <w:r>
              <w:rPr>
                <w:rFonts w:hint="eastAsia" w:ascii="Times New Roman" w:hAnsi="Times New Roman" w:eastAsia="宋体" w:cs="Times New Roman"/>
                <w:color w:val="auto"/>
                <w:szCs w:val="22"/>
                <w:lang w:val="en-US" w:eastAsia="zh-CN"/>
              </w:rPr>
              <w:t>，有效文件</w:t>
            </w:r>
            <w:r>
              <w:rPr>
                <w:rFonts w:hint="default" w:ascii="Times New Roman" w:hAnsi="Times New Roman" w:eastAsia="宋体" w:cs="Times New Roman"/>
                <w:color w:val="auto"/>
                <w:szCs w:val="22"/>
                <w:lang w:val="en-US" w:eastAsia="zh-CN"/>
              </w:rPr>
              <w:t>。</w:t>
            </w:r>
          </w:p>
          <w:p>
            <w:pPr>
              <w:spacing w:line="360" w:lineRule="auto"/>
              <w:ind w:firstLine="396" w:firstLineChars="200"/>
              <w:rPr>
                <w:b/>
                <w:color w:val="000000" w:themeColor="text1"/>
                <w:sz w:val="20"/>
                <w:szCs w:val="20"/>
              </w:rPr>
            </w:pPr>
            <w:r>
              <w:rPr>
                <w:rFonts w:hint="eastAsia" w:ascii="宋体" w:hAnsi="宋体" w:cs="Arial"/>
                <w:spacing w:val="-6"/>
                <w:sz w:val="21"/>
                <w:szCs w:val="21"/>
                <w:lang w:val="en-US" w:eastAsia="zh-CN"/>
              </w:rPr>
              <w:t>介绍说，本公司的服务放行主要是招标文件的确认和开标过程中的评审，对不符合的控制主要有修改文件和废除资格以及废标（流标）。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7. EMS组织对重要环境因素实施控制的结果</w:t>
            </w:r>
          </w:p>
          <w:p>
            <w:pPr>
              <w:spacing w:line="360" w:lineRule="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rFonts w:hint="eastAsia"/>
                <w:b/>
                <w:color w:val="000000" w:themeColor="text1"/>
                <w:sz w:val="20"/>
                <w:szCs w:val="20"/>
              </w:rPr>
            </w:pPr>
            <w:r>
              <w:rPr>
                <w:rFonts w:hint="eastAsia"/>
                <w:b/>
                <w:color w:val="000000" w:themeColor="text1"/>
                <w:sz w:val="20"/>
                <w:szCs w:val="20"/>
              </w:rPr>
              <w:t>8. OHSMS组织对不可接受风险实施控制的结果</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vMerge w:val="continue"/>
            <w:vAlign w:val="center"/>
          </w:tcPr>
          <w:p>
            <w:pPr>
              <w:spacing w:line="360" w:lineRule="auto"/>
              <w:jc w:val="center"/>
              <w:rPr>
                <w:b/>
                <w:color w:val="000000" w:themeColor="text1"/>
                <w:szCs w:val="21"/>
              </w:rPr>
            </w:pPr>
          </w:p>
        </w:tc>
        <w:tc>
          <w:tcPr>
            <w:tcW w:w="9198" w:type="dxa"/>
          </w:tcPr>
          <w:p>
            <w:pPr>
              <w:spacing w:line="360" w:lineRule="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20" w:type="dxa"/>
            <w:vMerge w:val="restart"/>
            <w:textDirection w:val="tbRlV"/>
            <w:vAlign w:val="center"/>
          </w:tcPr>
          <w:p>
            <w:pPr>
              <w:spacing w:line="360" w:lineRule="auto"/>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公司在管理手册中明确了监视测量的要求，</w:t>
            </w:r>
            <w:r>
              <w:rPr>
                <w:rFonts w:hint="default" w:ascii="Times New Roman" w:hAnsi="Times New Roman" w:eastAsia="宋体" w:cs="Times New Roman"/>
                <w:szCs w:val="22"/>
                <w:lang w:val="en-US" w:eastAsia="zh-CN"/>
              </w:rPr>
              <w:t>制定了《顾客满意度测量控制程序》、《管理评审控制程序》和《内部审核控制程序》等程序。</w:t>
            </w:r>
          </w:p>
          <w:p>
            <w:pPr>
              <w:spacing w:line="360" w:lineRule="auto"/>
              <w:ind w:firstLine="420" w:firstLineChars="200"/>
              <w:rPr>
                <w:b/>
                <w:color w:val="000000" w:themeColor="text1"/>
                <w:sz w:val="20"/>
                <w:szCs w:val="20"/>
              </w:rPr>
            </w:pPr>
            <w:r>
              <w:rPr>
                <w:rFonts w:hint="eastAsia" w:ascii="Times New Roman" w:hAnsi="Times New Roman" w:eastAsia="宋体" w:cs="Times New Roman"/>
                <w:szCs w:val="22"/>
                <w:lang w:val="en-US" w:eastAsia="zh-CN"/>
              </w:rPr>
              <w:t>保留“质量目标考核表”，对各部门完成目标情况进行监测。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20" w:type="dxa"/>
            <w:vMerge w:val="continue"/>
            <w:textDirection w:val="tbRlV"/>
            <w:vAlign w:val="center"/>
          </w:tcPr>
          <w:p>
            <w:pPr>
              <w:spacing w:line="360" w:lineRule="auto"/>
              <w:ind w:left="113" w:right="113"/>
              <w:jc w:val="center"/>
              <w:rPr>
                <w:b/>
                <w:color w:val="000000" w:themeColor="text1"/>
                <w:szCs w:val="21"/>
              </w:rPr>
            </w:pPr>
          </w:p>
        </w:tc>
        <w:tc>
          <w:tcPr>
            <w:tcW w:w="9198" w:type="dxa"/>
          </w:tcPr>
          <w:p>
            <w:pPr>
              <w:spacing w:line="360" w:lineRule="auto"/>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360" w:lineRule="auto"/>
              <w:ind w:firstLine="420" w:firstLineChars="200"/>
              <w:rPr>
                <w:rFonts w:hint="eastAsia"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公司编制《顾客满意度控制程序》，通过拜访、电话、电邮、问卷等形式，收集顾客反馈信息，监视顾客满意程度，评价体系的有效性，寻求体系改进的机会。</w:t>
            </w:r>
          </w:p>
          <w:p>
            <w:pPr>
              <w:spacing w:line="360" w:lineRule="auto"/>
              <w:ind w:firstLine="420" w:firstLineChars="200"/>
              <w:rPr>
                <w:rFonts w:hint="eastAsia"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查见2020年12月11-15日发放的《顾客满意度调查记录表》，发放调查表共5份，回收调查表共5份。</w:t>
            </w:r>
          </w:p>
          <w:p>
            <w:pPr>
              <w:spacing w:line="360" w:lineRule="auto"/>
              <w:ind w:firstLine="420" w:firstLineChars="200"/>
              <w:rPr>
                <w:rFonts w:hint="eastAsia" w:eastAsia="宋体"/>
                <w:b/>
                <w:color w:val="000000" w:themeColor="text1"/>
                <w:sz w:val="20"/>
                <w:szCs w:val="20"/>
                <w:lang w:val="en-US" w:eastAsia="zh-CN"/>
              </w:rPr>
            </w:pPr>
            <w:r>
              <w:rPr>
                <w:rFonts w:hint="eastAsia" w:ascii="Times New Roman" w:hAnsi="Times New Roman" w:eastAsia="宋体" w:cs="Times New Roman"/>
                <w:szCs w:val="22"/>
                <w:highlight w:val="none"/>
                <w:lang w:val="en-US" w:eastAsia="zh-CN"/>
              </w:rPr>
              <w:t>查见《顾客满意度调查分析》，2020.12.16，对顾客满意度予以分析汇总，经评价测算客户满意度得分94.6分。</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20" w:type="dxa"/>
            <w:vMerge w:val="continue"/>
            <w:textDirection w:val="tbRlV"/>
            <w:vAlign w:val="center"/>
          </w:tcPr>
          <w:p>
            <w:pPr>
              <w:spacing w:line="360" w:lineRule="auto"/>
              <w:ind w:left="201" w:right="113" w:hanging="201" w:hangingChars="100"/>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查见“内审控制程序”，有效文件；</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2021年3月4日，对各部门进行了内审，保留了内审计划、内审记录、不符合报告、内审报告；</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内审覆盖了管理体系范围内的活动及标准的要求；</w:t>
            </w:r>
          </w:p>
          <w:p>
            <w:pPr>
              <w:spacing w:line="360" w:lineRule="auto"/>
              <w:ind w:firstLine="420" w:firstLineChars="20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本次内审开具1项不符合报告，及时整改并验证；</w:t>
            </w:r>
          </w:p>
          <w:p>
            <w:pPr>
              <w:spacing w:line="360" w:lineRule="auto"/>
              <w:ind w:firstLine="420" w:firstLineChars="200"/>
              <w:rPr>
                <w:b/>
                <w:color w:val="000000" w:themeColor="text1"/>
                <w:sz w:val="20"/>
                <w:szCs w:val="20"/>
              </w:rPr>
            </w:pPr>
            <w:r>
              <w:rPr>
                <w:rFonts w:hint="eastAsia" w:ascii="Times New Roman" w:hAnsi="Times New Roman" w:eastAsia="宋体" w:cs="Times New Roman"/>
                <w:szCs w:val="22"/>
                <w:lang w:val="en-US" w:eastAsia="zh-CN"/>
              </w:rPr>
              <w:t>内审结论为：符合GB/T19001-2016/ISO 9001：2015标准要求，运行是有效的。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20" w:type="dxa"/>
            <w:vMerge w:val="continue"/>
            <w:textDirection w:val="tbRlV"/>
            <w:vAlign w:val="center"/>
          </w:tcPr>
          <w:p>
            <w:pPr>
              <w:spacing w:line="360" w:lineRule="auto"/>
              <w:ind w:left="201" w:right="113" w:hanging="201" w:hangingChars="100"/>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ind w:firstLine="420" w:firstLineChars="200"/>
              <w:rPr>
                <w:rFonts w:hint="default" w:ascii="Times New Roman" w:hAnsi="Times New Roman" w:cs="Times New Roman"/>
                <w:szCs w:val="24"/>
              </w:rPr>
            </w:pPr>
            <w:r>
              <w:rPr>
                <w:rFonts w:hint="default" w:ascii="Times New Roman" w:hAnsi="Times New Roman" w:cs="Times New Roman"/>
                <w:szCs w:val="24"/>
              </w:rPr>
              <w:t>查看《管理评审程序》，</w:t>
            </w:r>
            <w:r>
              <w:rPr>
                <w:rFonts w:hint="eastAsia" w:cs="Times New Roman"/>
                <w:szCs w:val="24"/>
                <w:lang w:val="en-US" w:eastAsia="zh-CN"/>
              </w:rPr>
              <w:t>有效文件</w:t>
            </w:r>
            <w:r>
              <w:rPr>
                <w:rFonts w:hint="default" w:ascii="Times New Roman" w:hAnsi="Times New Roman" w:cs="Times New Roman"/>
                <w:szCs w:val="24"/>
              </w:rPr>
              <w:t>。</w:t>
            </w:r>
          </w:p>
          <w:p>
            <w:pPr>
              <w:spacing w:line="360" w:lineRule="auto"/>
              <w:ind w:firstLine="420" w:firstLineChars="200"/>
              <w:rPr>
                <w:rFonts w:hint="eastAsia"/>
                <w:lang w:val="en-US" w:eastAsia="zh-CN"/>
              </w:rPr>
            </w:pPr>
            <w:r>
              <w:rPr>
                <w:rFonts w:hint="eastAsia"/>
                <w:lang w:val="en-US" w:eastAsia="zh-CN"/>
              </w:rPr>
              <w:t>2021年3月13号在公司会议室由</w:t>
            </w:r>
            <w:r>
              <w:rPr>
                <w:rFonts w:hint="eastAsia"/>
                <w:color w:val="auto"/>
                <w:highlight w:val="none"/>
                <w:lang w:val="en-US" w:eastAsia="zh-CN"/>
              </w:rPr>
              <w:t>张莉萍</w:t>
            </w:r>
            <w:r>
              <w:rPr>
                <w:rFonts w:hint="eastAsia"/>
                <w:lang w:val="en-US" w:eastAsia="zh-CN"/>
              </w:rPr>
              <w:t>总经理主持召开管理评审会议；</w:t>
            </w:r>
          </w:p>
          <w:p>
            <w:pPr>
              <w:spacing w:line="360" w:lineRule="auto"/>
              <w:ind w:firstLine="420" w:firstLineChars="200"/>
              <w:rPr>
                <w:rFonts w:hint="eastAsia"/>
                <w:lang w:val="en-US" w:eastAsia="zh-CN"/>
              </w:rPr>
            </w:pPr>
            <w:r>
              <w:rPr>
                <w:rFonts w:hint="eastAsia"/>
                <w:lang w:val="en-US" w:eastAsia="zh-CN"/>
              </w:rPr>
              <w:t>保留管理评审计划、管理评审报告、管理评审会议纪要等；</w:t>
            </w:r>
          </w:p>
          <w:p>
            <w:pPr>
              <w:spacing w:line="360" w:lineRule="auto"/>
              <w:ind w:firstLine="420" w:firstLineChars="200"/>
              <w:rPr>
                <w:rFonts w:hint="eastAsia"/>
                <w:lang w:val="en-US" w:eastAsia="zh-CN"/>
              </w:rPr>
            </w:pPr>
            <w:r>
              <w:rPr>
                <w:rFonts w:hint="eastAsia"/>
                <w:lang w:val="en-US" w:eastAsia="zh-CN"/>
              </w:rPr>
              <w:t>管理评审输入充分；</w:t>
            </w:r>
          </w:p>
          <w:p>
            <w:pPr>
              <w:spacing w:line="360" w:lineRule="auto"/>
              <w:ind w:firstLine="420" w:firstLineChars="200"/>
              <w:rPr>
                <w:rFonts w:hint="eastAsia"/>
                <w:lang w:val="en-US" w:eastAsia="zh-CN"/>
              </w:rPr>
            </w:pPr>
            <w:r>
              <w:rPr>
                <w:rFonts w:hint="eastAsia"/>
                <w:lang w:val="en-US" w:eastAsia="zh-CN"/>
              </w:rPr>
              <w:t>管理评审结论：质量管理体系的建立和运行是充分的、适宜的、有效的。</w:t>
            </w:r>
          </w:p>
          <w:p>
            <w:pPr>
              <w:spacing w:line="360" w:lineRule="auto"/>
              <w:ind w:firstLine="420" w:firstLineChars="200"/>
              <w:rPr>
                <w:rFonts w:hint="eastAsia"/>
                <w:lang w:val="en-US" w:eastAsia="zh-CN"/>
              </w:rPr>
            </w:pPr>
            <w:r>
              <w:rPr>
                <w:rFonts w:hint="eastAsia"/>
                <w:lang w:val="en-US" w:eastAsia="zh-CN"/>
              </w:rPr>
              <w:t>改进措施要求：进一步组织对GB/T19001-2016/ISO 9001：2015标准、《管理手册》、《程序文件》的学习和培训。</w:t>
            </w:r>
          </w:p>
          <w:p>
            <w:pPr>
              <w:spacing w:line="360" w:lineRule="auto"/>
              <w:ind w:firstLine="420" w:firstLineChars="200"/>
              <w:rPr>
                <w:b/>
                <w:color w:val="000000" w:themeColor="text1"/>
                <w:sz w:val="20"/>
                <w:szCs w:val="20"/>
              </w:rPr>
            </w:pPr>
            <w:r>
              <w:rPr>
                <w:rFonts w:hint="eastAsia" w:ascii="Times New Roman" w:hAnsi="Times New Roman" w:eastAsia="宋体" w:cs="Times New Roman"/>
                <w:szCs w:val="22"/>
                <w:lang w:val="en-US" w:eastAsia="zh-CN"/>
              </w:rPr>
              <w:t>保留有“管理评审改进措施计划”。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20" w:type="dxa"/>
            <w:vMerge w:val="continue"/>
            <w:vAlign w:val="center"/>
          </w:tcPr>
          <w:p>
            <w:pPr>
              <w:spacing w:line="360" w:lineRule="auto"/>
              <w:jc w:val="center"/>
              <w:rPr>
                <w:b/>
                <w:color w:val="000000" w:themeColor="text1"/>
                <w:sz w:val="20"/>
              </w:rPr>
            </w:pPr>
          </w:p>
        </w:tc>
        <w:tc>
          <w:tcPr>
            <w:tcW w:w="9198" w:type="dxa"/>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tcBorders>
              <w:bottom w:val="single" w:color="auto" w:sz="4" w:space="0"/>
            </w:tcBorders>
            <w:vAlign w:val="center"/>
          </w:tcPr>
          <w:p>
            <w:pPr>
              <w:spacing w:line="360" w:lineRule="auto"/>
              <w:jc w:val="center"/>
              <w:rPr>
                <w:b/>
                <w:color w:val="000000" w:themeColor="text1"/>
                <w:sz w:val="20"/>
              </w:rPr>
            </w:pPr>
          </w:p>
        </w:tc>
        <w:tc>
          <w:tcPr>
            <w:tcW w:w="9198" w:type="dxa"/>
            <w:tcBorders>
              <w:bottom w:val="single" w:color="auto" w:sz="4" w:space="0"/>
            </w:tcBorders>
          </w:tcPr>
          <w:p>
            <w:pPr>
              <w:widowControl/>
              <w:spacing w:line="360" w:lineRule="auto"/>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20" w:type="dxa"/>
            <w:vMerge w:val="restart"/>
            <w:vAlign w:val="center"/>
          </w:tcPr>
          <w:p>
            <w:pPr>
              <w:spacing w:line="360" w:lineRule="auto"/>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ind w:firstLine="420" w:firstLineChars="200"/>
              <w:rPr>
                <w:b/>
                <w:color w:val="000000" w:themeColor="text1"/>
                <w:sz w:val="20"/>
                <w:szCs w:val="20"/>
              </w:rPr>
            </w:pPr>
            <w:r>
              <w:rPr>
                <w:rFonts w:hint="eastAsia" w:ascii="Times New Roman" w:hAnsi="Times New Roman" w:eastAsia="宋体" w:cs="Times New Roman"/>
                <w:lang w:val="en-US" w:eastAsia="zh-CN"/>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720" w:type="dxa"/>
            <w:vMerge w:val="continue"/>
            <w:vAlign w:val="center"/>
          </w:tcPr>
          <w:p>
            <w:pPr>
              <w:spacing w:line="360" w:lineRule="auto"/>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0" w:type="dxa"/>
            <w:vMerge w:val="continue"/>
            <w:vAlign w:val="center"/>
          </w:tcPr>
          <w:p>
            <w:pPr>
              <w:spacing w:line="360" w:lineRule="auto"/>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ind w:firstLine="420" w:firstLineChars="200"/>
              <w:rPr>
                <w:rFonts w:hint="default" w:eastAsia="宋体"/>
                <w:b/>
                <w:color w:val="000000" w:themeColor="text1"/>
                <w:spacing w:val="-20"/>
                <w:sz w:val="20"/>
                <w:szCs w:val="20"/>
                <w:lang w:val="en-US" w:eastAsia="zh-CN"/>
              </w:rPr>
            </w:pPr>
            <w:r>
              <w:rPr>
                <w:rFonts w:hint="eastAsia" w:ascii="Times New Roman" w:hAnsi="Times New Roman" w:eastAsia="宋体" w:cs="Times New Roman"/>
                <w:lang w:val="en-US" w:eastAsia="zh-CN"/>
              </w:rPr>
              <w:t>一阶段未提出整改要求。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rFonts w:hint="eastAsia"/>
                <w:b/>
                <w:color w:val="000000" w:themeColor="text1"/>
                <w:sz w:val="20"/>
                <w:szCs w:val="20"/>
              </w:rPr>
            </w:pPr>
            <w:r>
              <w:rPr>
                <w:rFonts w:hint="eastAsia"/>
                <w:b/>
                <w:color w:val="000000" w:themeColor="text1"/>
                <w:sz w:val="20"/>
                <w:szCs w:val="20"/>
              </w:rPr>
              <w:t>4.创新情况</w:t>
            </w:r>
          </w:p>
          <w:p>
            <w:pPr>
              <w:spacing w:line="360" w:lineRule="auto"/>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360" w:lineRule="auto"/>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rFonts w:hint="eastAsia" w:eastAsia="宋体"/>
                <w:b/>
                <w:color w:val="000000" w:themeColor="text1"/>
                <w:szCs w:val="21"/>
                <w:lang w:val="en-US" w:eastAsia="zh-CN"/>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spacing w:line="360" w:lineRule="auto"/>
        <w:ind w:left="1" w:leftChars="-472" w:hanging="992" w:hangingChars="380"/>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pacing w:line="360" w:lineRule="auto"/>
        <w:ind w:left="1" w:leftChars="-472" w:hanging="992" w:hangingChars="380"/>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bookmarkStart w:id="21" w:name="_GoBack"/>
      <w:bookmarkEnd w:id="21"/>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spacing w:line="360" w:lineRule="auto"/>
              <w:ind w:firstLine="420" w:firstLineChars="200"/>
              <w:rPr>
                <w:rFonts w:hint="eastAsia"/>
                <w:sz w:val="21"/>
                <w:szCs w:val="21"/>
              </w:rPr>
            </w:pPr>
            <w:r>
              <w:rPr>
                <w:rFonts w:hint="eastAsia"/>
                <w:sz w:val="21"/>
                <w:szCs w:val="21"/>
              </w:rPr>
              <w:t>组织建立并实施的管理体系基本符合标准要求，可能存在的重要风险可以得到有效控制，没有出现过顾客投诉事件发生，体系运行基本有效，组织初步建立了自我完善和自我改进机制。经审核组</w:t>
            </w:r>
            <w:r>
              <w:rPr>
                <w:rFonts w:hint="eastAsia"/>
                <w:sz w:val="21"/>
                <w:szCs w:val="21"/>
                <w:lang w:val="en-US" w:eastAsia="zh-CN"/>
              </w:rPr>
              <w:t>确认</w:t>
            </w:r>
            <w:r>
              <w:rPr>
                <w:rFonts w:hint="eastAsia"/>
                <w:sz w:val="21"/>
                <w:szCs w:val="21"/>
              </w:rPr>
              <w:t>同意推荐认证注册。</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hint="eastAsia"/>
          <w:b/>
          <w:color w:val="000000" w:themeColor="text1"/>
          <w:sz w:val="26"/>
          <w:szCs w:val="26"/>
        </w:rPr>
      </w:pPr>
    </w:p>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1563370</wp:posOffset>
            </wp:positionH>
            <wp:positionV relativeFrom="paragraph">
              <wp:posOffset>363855</wp:posOffset>
            </wp:positionV>
            <wp:extent cx="704850" cy="424815"/>
            <wp:effectExtent l="0" t="0" r="0" b="13335"/>
            <wp:wrapNone/>
            <wp:docPr id="3"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04850" cy="42481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02" w:firstLineChars="250"/>
        <w:rPr>
          <w:b/>
          <w:color w:val="000000" w:themeColor="text1"/>
        </w:rPr>
      </w:pPr>
      <w:r>
        <w:rPr>
          <w:rFonts w:hint="eastAsia" w:eastAsia="宋体"/>
          <w:b/>
          <w:sz w:val="20"/>
          <w:lang w:eastAsia="zh-CN"/>
        </w:rPr>
        <w:drawing>
          <wp:anchor distT="0" distB="0" distL="114300" distR="114300" simplePos="0" relativeHeight="251660288" behindDoc="0" locked="0" layoutInCell="1" allowOverlap="1">
            <wp:simplePos x="0" y="0"/>
            <wp:positionH relativeFrom="column">
              <wp:posOffset>1557020</wp:posOffset>
            </wp:positionH>
            <wp:positionV relativeFrom="paragraph">
              <wp:posOffset>166370</wp:posOffset>
            </wp:positionV>
            <wp:extent cx="563245" cy="408940"/>
            <wp:effectExtent l="0" t="0" r="8255" b="10160"/>
            <wp:wrapNone/>
            <wp:docPr id="4" name="图片 3" descr="王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王悦"/>
                    <pic:cNvPicPr>
                      <a:picLocks noChangeAspect="1"/>
                    </pic:cNvPicPr>
                  </pic:nvPicPr>
                  <pic:blipFill>
                    <a:blip r:embed="rId7">
                      <a:clrChange>
                        <a:clrFrom>
                          <a:srgbClr val="FFFFFF"/>
                        </a:clrFrom>
                        <a:clrTo>
                          <a:srgbClr val="FFFFFF">
                            <a:alpha val="0"/>
                          </a:srgbClr>
                        </a:clrTo>
                      </a:clrChange>
                      <a:lum bright="-78000" contrast="-54001"/>
                    </a:blip>
                    <a:stretch>
                      <a:fillRect/>
                    </a:stretch>
                  </pic:blipFill>
                  <pic:spPr>
                    <a:xfrm>
                      <a:off x="0" y="0"/>
                      <a:ext cx="563245" cy="40894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343" w:firstLineChars="20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p>
    <w:p>
      <w:pPr>
        <w:spacing w:before="312" w:beforeLines="100" w:after="156" w:afterLines="50"/>
        <w:rPr>
          <w:rFonts w:hint="eastAsia"/>
          <w:b/>
          <w:color w:val="000000" w:themeColor="text1"/>
          <w:szCs w:val="21"/>
        </w:rPr>
      </w:pP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663575</wp:posOffset>
            </wp:positionH>
            <wp:positionV relativeFrom="paragraph">
              <wp:posOffset>41275</wp:posOffset>
            </wp:positionV>
            <wp:extent cx="704850" cy="424815"/>
            <wp:effectExtent l="0" t="0" r="0" b="13335"/>
            <wp:wrapNone/>
            <wp:docPr id="5"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04850" cy="42481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8</w:t>
      </w:r>
      <w:r>
        <w:rPr>
          <w:rFonts w:hint="eastAsia"/>
          <w:b/>
          <w:color w:val="000000" w:themeColor="text1"/>
          <w:szCs w:val="21"/>
        </w:rPr>
        <w:t>日</w:t>
      </w:r>
    </w:p>
    <w:p>
      <w:pPr>
        <w:pStyle w:val="2"/>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rFonts w:hint="eastAsia"/>
          <w:b/>
          <w:color w:val="000000" w:themeColor="text1"/>
        </w:rPr>
      </w:pPr>
      <w:r>
        <w:rPr>
          <w:rFonts w:hint="eastAsia"/>
          <w:b/>
          <w:color w:val="000000" w:themeColor="text1"/>
        </w:rPr>
        <w:t>北京国标联合认证有限公司：1份</w:t>
      </w:r>
    </w:p>
    <w:p>
      <w:pPr>
        <w:pStyle w:val="2"/>
      </w:pPr>
    </w:p>
    <w:p>
      <w:pPr>
        <w:spacing w:before="156" w:beforeLines="50" w:after="156" w:afterLines="50"/>
        <w:ind w:left="1" w:leftChars="-405" w:hanging="851" w:hangingChars="326"/>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t>十八、附件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C91A6A"/>
    <w:rsid w:val="442A1295"/>
    <w:rsid w:val="638654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2021-07-11T07:07:32Z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