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江西好望投资咨询有限公司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0576-2021-Q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lang w:val="en-US" w:eastAsia="zh-CN"/>
              </w:rPr>
              <w:t>统一社会信用代码：</w:t>
            </w:r>
            <w:r>
              <w:rPr>
                <w:rFonts w:hint="eastAsia"/>
                <w:color w:val="000000"/>
                <w:szCs w:val="21"/>
              </w:rPr>
              <w:t>913601000910781017</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10</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3844925</wp:posOffset>
                  </wp:positionH>
                  <wp:positionV relativeFrom="paragraph">
                    <wp:posOffset>43815</wp:posOffset>
                  </wp:positionV>
                  <wp:extent cx="704850" cy="424815"/>
                  <wp:effectExtent l="0" t="0" r="0" b="13335"/>
                  <wp:wrapNone/>
                  <wp:docPr id="2"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褚敏杰"/>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04850" cy="42481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AF51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2021-07-05T03:06:48Z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