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780"/>
        </w:tabs>
        <w:adjustRightInd w:val="0"/>
        <w:snapToGrid w:val="0"/>
        <w:spacing w:line="360" w:lineRule="auto"/>
        <w:ind w:left="120"/>
        <w:jc w:val="center"/>
        <w:rPr>
          <w:rFonts w:hint="eastAsia"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  <w:lang w:val="en-US" w:eastAsia="zh-CN"/>
        </w:rPr>
        <w:t>袋皮输送机链轮传动轴外径尺寸测量</w:t>
      </w:r>
      <w:r>
        <w:rPr>
          <w:rFonts w:hint="eastAsia" w:ascii="黑体" w:eastAsia="黑体"/>
          <w:b/>
          <w:bCs/>
          <w:sz w:val="28"/>
          <w:szCs w:val="28"/>
        </w:rPr>
        <w:t>不确定度评定</w:t>
      </w:r>
    </w:p>
    <w:p>
      <w:pPr>
        <w:adjustRightInd w:val="0"/>
        <w:snapToGrid w:val="0"/>
        <w:spacing w:line="360" w:lineRule="auto"/>
        <w:rPr>
          <w:rFonts w:ascii="宋体" w:hAnsi="宋体"/>
          <w:b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Fonts w:asci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1.</w:t>
      </w:r>
      <w:r>
        <w:rPr>
          <w:rFonts w:hint="eastAsia" w:ascii="宋体" w:hAnsi="宋体"/>
          <w:b/>
          <w:sz w:val="24"/>
          <w:szCs w:val="24"/>
        </w:rPr>
        <w:t>检测方法及测量数学模型</w:t>
      </w:r>
    </w:p>
    <w:p>
      <w:pPr>
        <w:adjustRightInd w:val="0"/>
        <w:snapToGrid w:val="0"/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1.1</w:t>
      </w:r>
      <w:r>
        <w:rPr>
          <w:rFonts w:hint="eastAsia" w:ascii="宋体" w:hAnsi="宋体"/>
          <w:sz w:val="24"/>
          <w:szCs w:val="24"/>
        </w:rPr>
        <w:t>检测依据：相关技术图纸</w:t>
      </w:r>
    </w:p>
    <w:p>
      <w:pPr>
        <w:adjustRightInd w:val="0"/>
        <w:snapToGrid w:val="0"/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1.2</w:t>
      </w:r>
      <w:r>
        <w:rPr>
          <w:rFonts w:hint="eastAsia" w:ascii="宋体" w:hAnsi="宋体"/>
          <w:sz w:val="24"/>
          <w:szCs w:val="24"/>
        </w:rPr>
        <w:t>检测环境条件：常温</w:t>
      </w:r>
    </w:p>
    <w:p>
      <w:pPr>
        <w:adjustRightInd w:val="0"/>
        <w:snapToGrid w:val="0"/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1.3 </w:t>
      </w:r>
      <w:r>
        <w:rPr>
          <w:rFonts w:hint="eastAsia" w:ascii="宋体" w:hAnsi="宋体"/>
          <w:sz w:val="24"/>
          <w:szCs w:val="24"/>
        </w:rPr>
        <w:t>被测对象：技术状态较好的产品样件</w:t>
      </w:r>
    </w:p>
    <w:p>
      <w:pPr>
        <w:adjustRightInd w:val="0"/>
        <w:snapToGrid w:val="0"/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1.4</w:t>
      </w:r>
      <w:r>
        <w:rPr>
          <w:rFonts w:hint="eastAsia" w:ascii="宋体" w:hAnsi="宋体"/>
          <w:sz w:val="24"/>
          <w:szCs w:val="24"/>
        </w:rPr>
        <w:t>测量设备：外径千分尺（</w:t>
      </w:r>
      <w:r>
        <w:rPr>
          <w:rFonts w:hint="eastAsia" w:ascii="宋体"/>
          <w:sz w:val="24"/>
          <w:szCs w:val="24"/>
          <w:lang w:val="en-US" w:eastAsia="zh-CN"/>
        </w:rPr>
        <w:t>25</w:t>
      </w:r>
      <w:r>
        <w:rPr>
          <w:rFonts w:hint="eastAsia" w:ascii="宋体" w:hAnsi="宋体"/>
          <w:sz w:val="24"/>
          <w:szCs w:val="24"/>
        </w:rPr>
        <w:t>～</w:t>
      </w:r>
      <w:r>
        <w:rPr>
          <w:rFonts w:hint="eastAsia" w:ascii="宋体" w:hAnsi="宋体"/>
          <w:sz w:val="24"/>
          <w:szCs w:val="24"/>
          <w:lang w:val="en-US" w:eastAsia="zh-CN"/>
        </w:rPr>
        <w:t>50</w:t>
      </w:r>
      <w:r>
        <w:rPr>
          <w:rFonts w:hint="eastAsia" w:ascii="宋体" w:hAnsi="宋体"/>
          <w:sz w:val="24"/>
          <w:szCs w:val="24"/>
        </w:rPr>
        <w:t>）mm；分度值：</w:t>
      </w:r>
      <w:r>
        <w:rPr>
          <w:rFonts w:ascii="宋体" w:hAnsi="宋体"/>
          <w:sz w:val="24"/>
          <w:szCs w:val="24"/>
        </w:rPr>
        <w:t>0.01</w:t>
      </w:r>
      <w:r>
        <w:rPr>
          <w:rFonts w:hint="eastAsia" w:ascii="宋体" w:hAnsi="宋体"/>
          <w:sz w:val="24"/>
          <w:szCs w:val="24"/>
        </w:rPr>
        <w:t>mm</w:t>
      </w:r>
    </w:p>
    <w:p>
      <w:pPr>
        <w:adjustRightInd w:val="0"/>
        <w:snapToGrid w:val="0"/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1.5</w:t>
      </w:r>
      <w:r>
        <w:rPr>
          <w:rFonts w:hint="eastAsia" w:ascii="宋体" w:hAnsi="宋体"/>
          <w:sz w:val="24"/>
          <w:szCs w:val="24"/>
        </w:rPr>
        <w:t>测量数学模型</w:t>
      </w:r>
      <w:r>
        <w:rPr>
          <w:rFonts w:hint="eastAsia" w:ascii="宋体" w:hAnsi="宋体"/>
          <w:position w:val="-10"/>
          <w:sz w:val="24"/>
          <w:szCs w:val="24"/>
        </w:rPr>
        <w:object>
          <v:shape id="_x0000_i1025" o:spt="75" type="#_x0000_t75" style="height:12.5pt;width:29.4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firstLine="360" w:firstLineChars="150"/>
        <w:rPr>
          <w:rFonts w:ascii="宋体"/>
          <w:sz w:val="24"/>
          <w:szCs w:val="24"/>
        </w:rPr>
      </w:pPr>
      <w:r>
        <w:rPr>
          <w:rFonts w:hint="eastAsia" w:ascii="宋体" w:hAnsi="宋体"/>
          <w:position w:val="-10"/>
          <w:sz w:val="24"/>
          <w:szCs w:val="24"/>
        </w:rPr>
        <w:object>
          <v:shape id="_x0000_i1026" o:spt="75" type="#_x0000_t75" style="height:12.5pt;width:11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ascii="宋体" w:hAnsi="宋体"/>
          <w:sz w:val="24"/>
          <w:szCs w:val="24"/>
        </w:rPr>
        <w:t>———</w:t>
      </w:r>
      <w:r>
        <w:rPr>
          <w:rFonts w:hint="eastAsia" w:ascii="宋体" w:hAnsi="宋体"/>
          <w:sz w:val="24"/>
          <w:szCs w:val="24"/>
        </w:rPr>
        <w:t>产品样件尺寸</w:t>
      </w:r>
    </w:p>
    <w:p>
      <w:pPr>
        <w:adjustRightInd w:val="0"/>
        <w:snapToGrid w:val="0"/>
        <w:spacing w:line="360" w:lineRule="auto"/>
        <w:ind w:firstLine="360" w:firstLineChars="150"/>
        <w:rPr>
          <w:rFonts w:ascii="宋体"/>
          <w:sz w:val="24"/>
          <w:szCs w:val="24"/>
        </w:rPr>
      </w:pPr>
      <w:r>
        <w:rPr>
          <w:rFonts w:hint="eastAsia" w:ascii="宋体" w:hAnsi="宋体"/>
          <w:position w:val="-6"/>
          <w:sz w:val="24"/>
          <w:szCs w:val="24"/>
        </w:rPr>
        <w:object>
          <v:shape id="_x0000_i1027" o:spt="75" type="#_x0000_t75" style="height:11.25pt;width:10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rFonts w:ascii="宋体" w:hAnsi="宋体"/>
          <w:sz w:val="24"/>
          <w:szCs w:val="24"/>
        </w:rPr>
        <w:t>———</w:t>
      </w:r>
      <w:r>
        <w:rPr>
          <w:rFonts w:hint="eastAsia" w:ascii="宋体" w:hAnsi="宋体"/>
          <w:sz w:val="24"/>
          <w:szCs w:val="24"/>
        </w:rPr>
        <w:t>外径千分尺读数</w:t>
      </w:r>
    </w:p>
    <w:p>
      <w:pPr>
        <w:adjustRightInd w:val="0"/>
        <w:snapToGrid w:val="0"/>
        <w:spacing w:line="360" w:lineRule="auto"/>
        <w:rPr>
          <w:rFonts w:asci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2.</w:t>
      </w:r>
      <w:r>
        <w:rPr>
          <w:rFonts w:hint="eastAsia" w:ascii="宋体" w:hAnsi="宋体"/>
          <w:b/>
          <w:sz w:val="24"/>
          <w:szCs w:val="24"/>
        </w:rPr>
        <w:t>最佳测量值</w:t>
      </w:r>
    </w:p>
    <w:p>
      <w:pPr>
        <w:adjustRightInd w:val="0"/>
        <w:snapToGrid w:val="0"/>
        <w:spacing w:line="360" w:lineRule="auto"/>
        <w:ind w:firstLine="48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对样件重复测量6次，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测得结果（</w:t>
      </w:r>
      <w:r>
        <w:rPr>
          <w:rFonts w:ascii="宋体" w:hAnsi="宋体"/>
          <w:sz w:val="24"/>
          <w:szCs w:val="24"/>
        </w:rPr>
        <w:t>mm</w:t>
      </w:r>
      <w:r>
        <w:rPr>
          <w:rFonts w:hint="eastAsia" w:ascii="宋体" w:hAnsi="宋体"/>
          <w:sz w:val="24"/>
          <w:szCs w:val="24"/>
        </w:rPr>
        <w:t>）</w:t>
      </w:r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  <w:szCs w:val="24"/>
          <w:lang w:val="en-US"/>
        </w:rPr>
      </w:pPr>
      <w:r>
        <w:rPr>
          <w:rFonts w:hint="eastAsia" w:ascii="宋体" w:hAnsi="宋体"/>
          <w:position w:val="-24"/>
          <w:sz w:val="24"/>
          <w:szCs w:val="24"/>
        </w:rPr>
        <w:pict>
          <v:shape id="_x0000_s1026" o:spid="_x0000_s1026" o:spt="75" type="#_x0000_t75" style="position:absolute;left:0pt;margin-left:17.4pt;margin-top:17.25pt;height:30.7pt;width:63.25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</v:shape>
          <o:OLEObject Type="Embed" ProgID="Equation.3" ShapeID="_x0000_s1026" DrawAspect="Content" ObjectID="_1468075728" r:id="rId10">
            <o:LockedField>false</o:LockedField>
          </o:OLEObject>
        </w:pict>
      </w:r>
      <w:r>
        <w:rPr>
          <w:rFonts w:hint="eastAsia" w:ascii="宋体" w:hAnsi="宋体"/>
          <w:position w:val="-12"/>
          <w:sz w:val="24"/>
          <w:szCs w:val="24"/>
        </w:rPr>
        <w:object>
          <v:shape id="_x0000_i1028" o:spt="75" type="#_x0000_t75" style="height:18.15pt;width:11.9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8" DrawAspect="Content" ObjectID="_1468075729" r:id="rId12">
            <o:LockedField>false</o:LockedField>
          </o:OLEObject>
        </w:objec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lang w:val="en-US" w:eastAsia="zh-CN"/>
        </w:rPr>
        <w:t>45</w:t>
      </w:r>
      <w:r>
        <w:rPr>
          <w:rFonts w:hint="eastAsia"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  <w:lang w:val="en-US" w:eastAsia="zh-CN"/>
        </w:rPr>
        <w:t>938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  <w:lang w:val="en-US" w:eastAsia="zh-CN"/>
        </w:rPr>
        <w:t>45.946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  <w:lang w:val="en-US" w:eastAsia="zh-CN"/>
        </w:rPr>
        <w:t>45.942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  <w:lang w:val="en-US" w:eastAsia="zh-CN"/>
        </w:rPr>
        <w:t>45.940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  <w:lang w:val="en-US" w:eastAsia="zh-CN"/>
        </w:rPr>
        <w:t>45.938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  <w:lang w:val="en-US" w:eastAsia="zh-CN"/>
        </w:rPr>
        <w:t>45.936</w:t>
      </w:r>
    </w:p>
    <w:p>
      <w:pPr>
        <w:adjustRightInd w:val="0"/>
        <w:snapToGrid w:val="0"/>
        <w:spacing w:line="360" w:lineRule="auto"/>
        <w:ind w:firstLine="1680" w:firstLineChars="700"/>
        <w:rPr>
          <w:rFonts w:ascii="宋体" w:hAnsi="宋体"/>
          <w:b/>
          <w:sz w:val="24"/>
          <w:szCs w:val="24"/>
          <w:lang w:val="en-US"/>
        </w:rPr>
      </w:pPr>
      <w:r>
        <w:rPr>
          <w:rFonts w:hint="eastAsia" w:ascii="宋体" w:hAnsi="宋体"/>
          <w:position w:val="-24"/>
          <w:sz w:val="24"/>
          <w:szCs w:val="24"/>
          <w:lang w:val="en-US" w:eastAsia="zh-CN"/>
        </w:rPr>
        <w:t>45.940</w:t>
      </w:r>
    </w:p>
    <w:p>
      <w:pPr>
        <w:adjustRightInd w:val="0"/>
        <w:snapToGrid w:val="0"/>
        <w:spacing w:line="360" w:lineRule="auto"/>
        <w:ind w:firstLine="361" w:firstLineChars="150"/>
        <w:rPr>
          <w:rFonts w:ascii="宋体"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 xml:space="preserve">3. </w:t>
      </w:r>
      <w:r>
        <w:rPr>
          <w:rFonts w:hint="eastAsia" w:ascii="宋体" w:hAnsi="宋体"/>
          <w:b/>
          <w:sz w:val="24"/>
          <w:szCs w:val="24"/>
        </w:rPr>
        <w:t>方差及灵敏系数</w:t>
      </w:r>
    </w:p>
    <w:p>
      <w:pPr>
        <w:adjustRightInd w:val="0"/>
        <w:snapToGrid w:val="0"/>
        <w:spacing w:line="360" w:lineRule="auto"/>
        <w:ind w:firstLine="360" w:firstLineChars="150"/>
        <w:rPr>
          <w:rFonts w:ascii="宋体"/>
          <w:sz w:val="24"/>
          <w:szCs w:val="24"/>
        </w:rPr>
      </w:pPr>
      <w:r>
        <w:rPr>
          <w:rFonts w:hint="eastAsia" w:ascii="宋体" w:hAnsi="宋体"/>
          <w:position w:val="-24"/>
          <w:sz w:val="24"/>
          <w:szCs w:val="24"/>
        </w:rPr>
        <w:object>
          <v:shape id="_x0000_i1029" o:spt="75" type="#_x0000_t75" style="height:30.7pt;width:95.8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30" r:id="rId14">
            <o:LockedField>false</o:LockedField>
          </o:OLEObject>
        </w:object>
      </w:r>
      <w:r>
        <w:rPr>
          <w:rFonts w:hint="eastAsia" w:ascii="宋体" w:hAnsi="宋体"/>
          <w:position w:val="-24"/>
          <w:sz w:val="24"/>
          <w:szCs w:val="24"/>
        </w:rPr>
        <w:object>
          <v:shape id="_x0000_i1030" o:spt="75" type="#_x0000_t75" style="height:30.7pt;width:33.2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0" DrawAspect="Content" ObjectID="_1468075731" r:id="rId16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firstLine="360" w:firstLineChars="150"/>
        <w:rPr>
          <w:rFonts w:ascii="宋体"/>
          <w:sz w:val="24"/>
          <w:szCs w:val="24"/>
        </w:rPr>
      </w:pPr>
      <w:r>
        <w:rPr>
          <w:rFonts w:hint="eastAsia" w:ascii="宋体" w:hAnsi="宋体"/>
          <w:position w:val="-12"/>
          <w:sz w:val="24"/>
          <w:szCs w:val="24"/>
        </w:rPr>
        <w:object>
          <v:shape id="_x0000_i1031" o:spt="75" type="#_x0000_t75" style="height:18.15pt;width:63.2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1" DrawAspect="Content" ObjectID="_1468075732" r:id="rId18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rFonts w:asci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4</w:t>
      </w:r>
      <w:r>
        <w:rPr>
          <w:rFonts w:hint="eastAsia" w:ascii="宋体" w:hAnsi="宋体"/>
          <w:b/>
          <w:sz w:val="24"/>
          <w:szCs w:val="24"/>
        </w:rPr>
        <w:t>．标准不确定度评定</w:t>
      </w:r>
    </w:p>
    <w:p>
      <w:pPr>
        <w:adjustRightInd w:val="0"/>
        <w:snapToGrid w:val="0"/>
        <w:spacing w:line="360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测量读数值的不确定</w:t>
      </w:r>
      <w:r>
        <w:rPr>
          <w:rFonts w:hint="eastAsia" w:ascii="宋体" w:hAnsi="宋体"/>
          <w:position w:val="-10"/>
          <w:sz w:val="24"/>
          <w:szCs w:val="24"/>
        </w:rPr>
        <w:object>
          <v:shape id="_x0000_i1032" o:spt="75" type="#_x0000_t75" style="height:15.65pt;width:25.0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2" DrawAspect="Content" ObjectID="_1468075733" r:id="rId20">
            <o:LockedField>false</o:LockedField>
          </o:OLEObject>
        </w:object>
      </w:r>
      <w:r>
        <w:rPr>
          <w:rFonts w:hint="eastAsia" w:ascii="宋体" w:hAnsi="宋体"/>
          <w:sz w:val="24"/>
          <w:szCs w:val="24"/>
        </w:rPr>
        <w:t>包括测量重复性引入的不确定度</w:t>
      </w:r>
      <w:r>
        <w:rPr>
          <w:rFonts w:hint="eastAsia" w:ascii="宋体" w:hAnsi="宋体"/>
          <w:position w:val="-10"/>
          <w:sz w:val="24"/>
          <w:szCs w:val="24"/>
        </w:rPr>
        <w:object>
          <v:shape id="_x0000_i1033" o:spt="75" type="#_x0000_t75" style="height:18.15pt;width:28.8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3" DrawAspect="Content" ObjectID="_1468075734" r:id="rId22">
            <o:LockedField>false</o:LockedField>
          </o:OLEObject>
        </w:object>
      </w:r>
      <w:r>
        <w:rPr>
          <w:rFonts w:hint="eastAsia" w:ascii="宋体" w:hAnsi="宋体"/>
          <w:sz w:val="24"/>
          <w:szCs w:val="24"/>
        </w:rPr>
        <w:t>和数显千分尺误差引入的不确定度</w:t>
      </w:r>
      <w:r>
        <w:rPr>
          <w:rFonts w:hint="eastAsia" w:ascii="宋体" w:hAnsi="宋体"/>
          <w:position w:val="-10"/>
          <w:sz w:val="24"/>
          <w:szCs w:val="24"/>
        </w:rPr>
        <w:object>
          <v:shape id="_x0000_i1034" o:spt="75" type="#_x0000_t75" style="height:17.55pt;width:29.4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4" DrawAspect="Content" ObjectID="_1468075735" r:id="rId24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4.1</w:t>
      </w:r>
      <w:r>
        <w:rPr>
          <w:rFonts w:hint="eastAsia" w:ascii="宋体" w:hAnsi="宋体"/>
          <w:sz w:val="24"/>
          <w:szCs w:val="24"/>
        </w:rPr>
        <w:t>重复性引入的不确定度</w:t>
      </w:r>
      <w:r>
        <w:rPr>
          <w:rFonts w:hint="eastAsia" w:ascii="宋体" w:hAnsi="宋体"/>
          <w:position w:val="-10"/>
          <w:sz w:val="24"/>
          <w:szCs w:val="24"/>
        </w:rPr>
        <w:object>
          <v:shape id="_x0000_i1035" o:spt="75" type="#_x0000_t75" style="height:18.15pt;width:28.8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35" DrawAspect="Content" ObjectID="_1468075736" r:id="rId26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firstLine="360" w:firstLineChars="150"/>
        <w:rPr>
          <w:rFonts w:ascii="宋体"/>
          <w:sz w:val="24"/>
          <w:szCs w:val="24"/>
        </w:rPr>
      </w:pPr>
      <w:r>
        <w:rPr>
          <w:rFonts w:hint="eastAsia" w:ascii="宋体" w:hAnsi="宋体"/>
          <w:position w:val="-12"/>
          <w:sz w:val="24"/>
          <w:szCs w:val="24"/>
        </w:rPr>
        <w:object>
          <v:shape id="_x0000_i1036" o:spt="75" type="#_x0000_t75" style="height:18.15pt;width:103.6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3" ShapeID="_x0000_i1036" DrawAspect="Content" ObjectID="_1468075737" r:id="rId28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firstLine="360" w:firstLineChars="150"/>
        <w:rPr>
          <w:rFonts w:ascii="宋体"/>
          <w:sz w:val="24"/>
          <w:szCs w:val="24"/>
        </w:rPr>
      </w:pPr>
      <w:r>
        <w:rPr>
          <w:rFonts w:hint="eastAsia" w:ascii="宋体" w:hAnsi="宋体"/>
          <w:position w:val="-24"/>
          <w:sz w:val="24"/>
          <w:szCs w:val="24"/>
        </w:rPr>
        <w:object>
          <v:shape id="_x0000_i1037" o:spt="75" type="#_x0000_t75" style="height:30.7pt;width:143.15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3" ShapeID="_x0000_i1037" DrawAspect="Content" ObjectID="_1468075738" r:id="rId30">
            <o:LockedField>false</o:LockedField>
          </o:OLEObject>
        </w:object>
      </w:r>
      <w:r>
        <w:rPr>
          <w:rFonts w:hint="eastAsia" w:ascii="宋体" w:hAnsi="宋体"/>
          <w:position w:val="-24"/>
          <w:sz w:val="24"/>
          <w:szCs w:val="24"/>
        </w:rPr>
        <w:t xml:space="preserve">     </w:t>
      </w:r>
      <w:r>
        <w:rPr>
          <w:rFonts w:hint="eastAsia" w:ascii="宋体" w:hAnsi="宋体"/>
          <w:position w:val="-28"/>
          <w:sz w:val="24"/>
          <w:szCs w:val="24"/>
        </w:rPr>
        <w:object>
          <v:shape id="_x0000_i1038" o:spt="75" type="#_x0000_t75" style="height:33.2pt;width:171.05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3" ShapeID="_x0000_i1038" DrawAspect="Content" ObjectID="_1468075739" r:id="rId32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4.2</w:t>
      </w:r>
      <w:r>
        <w:rPr>
          <w:rFonts w:hint="eastAsia" w:ascii="宋体" w:hAnsi="宋体"/>
          <w:sz w:val="24"/>
          <w:szCs w:val="24"/>
        </w:rPr>
        <w:t>外径千分尺误差引入的不确定度</w:t>
      </w:r>
      <w:r>
        <w:rPr>
          <w:rFonts w:hint="eastAsia" w:ascii="宋体" w:hAnsi="宋体"/>
          <w:position w:val="-10"/>
          <w:sz w:val="24"/>
          <w:szCs w:val="24"/>
        </w:rPr>
        <w:object>
          <v:shape id="_x0000_i1039" o:spt="75" type="#_x0000_t75" style="height:17.55pt;width:29.4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3" ShapeID="_x0000_i1039" DrawAspect="Content" ObjectID="_1468075740" r:id="rId34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firstLine="360" w:firstLineChars="1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外径千分尺最大允许误差为</w:t>
      </w:r>
      <w:r>
        <w:rPr>
          <w:rFonts w:hint="eastAsia" w:ascii="宋体" w:hAnsi="宋体"/>
          <w:position w:val="-6"/>
          <w:sz w:val="24"/>
          <w:szCs w:val="24"/>
        </w:rPr>
        <w:object>
          <v:shape id="_x0000_i1040" o:spt="75" type="#_x0000_t75" style="height:13.75pt;width:56.9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3" ShapeID="_x0000_i1040" DrawAspect="Content" ObjectID="_1468075741" r:id="rId36">
            <o:LockedField>false</o:LockedField>
          </o:OLEObject>
        </w:object>
      </w:r>
      <w:r>
        <w:rPr>
          <w:rFonts w:hint="eastAsia" w:ascii="宋体" w:hAnsi="宋体"/>
          <w:sz w:val="24"/>
          <w:szCs w:val="24"/>
        </w:rPr>
        <w:t>，估计均匀分布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/>
          <w:position w:val="-28"/>
          <w:sz w:val="24"/>
          <w:szCs w:val="24"/>
        </w:rPr>
        <w:object>
          <v:shape id="_x0000_i1041" o:spt="75" type="#_x0000_t75" style="height:33.2pt;width:155.9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3" ShapeID="_x0000_i1041" DrawAspect="Content" ObjectID="_1468075742" r:id="rId38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4.3</w:t>
      </w:r>
      <w:r>
        <w:rPr>
          <w:rFonts w:hint="eastAsia" w:ascii="宋体" w:hAnsi="宋体"/>
          <w:sz w:val="24"/>
          <w:szCs w:val="24"/>
        </w:rPr>
        <w:t>测量读数值的不确定</w:t>
      </w:r>
      <w:r>
        <w:rPr>
          <w:rFonts w:hint="eastAsia" w:ascii="宋体" w:hAnsi="宋体"/>
          <w:position w:val="-10"/>
          <w:sz w:val="24"/>
          <w:szCs w:val="24"/>
        </w:rPr>
        <w:object>
          <v:shape id="_x0000_i1042" o:spt="75" type="#_x0000_t75" style="height:15.65pt;width:25.0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3" ShapeID="_x0000_i1042" DrawAspect="Content" ObjectID="_1468075743" r:id="rId40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firstLine="360" w:firstLineChars="150"/>
        <w:rPr>
          <w:rFonts w:ascii="宋体"/>
          <w:sz w:val="24"/>
          <w:szCs w:val="24"/>
        </w:rPr>
      </w:pPr>
      <w:r>
        <w:rPr>
          <w:rFonts w:hint="eastAsia" w:ascii="宋体" w:hAnsi="宋体"/>
          <w:position w:val="-12"/>
          <w:sz w:val="24"/>
          <w:szCs w:val="24"/>
        </w:rPr>
        <w:object>
          <v:shape id="_x0000_i1043" o:spt="75" type="#_x0000_t75" style="height:21.9pt;width:167.8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3" ShapeID="_x0000_i1043" DrawAspect="Content" ObjectID="_1468075744" r:id="rId42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rFonts w:asci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5</w:t>
      </w:r>
      <w:r>
        <w:rPr>
          <w:rFonts w:hint="eastAsia" w:ascii="宋体" w:hAnsi="宋体"/>
          <w:b/>
          <w:sz w:val="24"/>
          <w:szCs w:val="24"/>
        </w:rPr>
        <w:t>．合成标准不确定度</w:t>
      </w:r>
    </w:p>
    <w:p>
      <w:pPr>
        <w:adjustRightInd w:val="0"/>
        <w:snapToGrid w:val="0"/>
        <w:spacing w:line="360" w:lineRule="auto"/>
        <w:ind w:firstLine="360" w:firstLineChars="150"/>
        <w:rPr>
          <w:rFonts w:ascii="宋体"/>
          <w:sz w:val="24"/>
          <w:szCs w:val="24"/>
        </w:rPr>
      </w:pPr>
      <w:r>
        <w:rPr>
          <w:rFonts w:hint="eastAsia" w:ascii="宋体" w:hAnsi="宋体"/>
          <w:position w:val="-12"/>
          <w:sz w:val="24"/>
          <w:szCs w:val="24"/>
        </w:rPr>
        <w:object>
          <v:shape id="_x0000_i1044" o:spt="75" type="#_x0000_t75" style="height:18.15pt;width:121.4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3" ShapeID="_x0000_i1044" DrawAspect="Content" ObjectID="_1468075745" r:id="rId44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rFonts w:asci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6</w:t>
      </w:r>
      <w:r>
        <w:rPr>
          <w:rFonts w:hint="eastAsia" w:ascii="宋体" w:hAnsi="宋体"/>
          <w:b/>
          <w:sz w:val="24"/>
          <w:szCs w:val="24"/>
        </w:rPr>
        <w:t>．扩展不确定度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/>
          <w:position w:val="-12"/>
          <w:sz w:val="24"/>
          <w:szCs w:val="24"/>
        </w:rPr>
        <w:object>
          <v:shape id="_x0000_i1045" o:spt="75" type="#_x0000_t75" style="height:18.15pt;width:195.95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3" ShapeID="_x0000_i1045" DrawAspect="Content" ObjectID="_1468075746" r:id="rId46">
            <o:LockedField>false</o:LockedField>
          </o:OLEObject>
        </w:object>
      </w:r>
      <w:r>
        <w:rPr>
          <w:rFonts w:hint="eastAsia" w:ascii="宋体"/>
          <w:sz w:val="24"/>
          <w:szCs w:val="24"/>
        </w:rPr>
        <w:t xml:space="preserve">  </w:t>
      </w:r>
      <w:r>
        <w:rPr>
          <w:rFonts w:hint="eastAsia" w:ascii="宋体"/>
          <w:sz w:val="24"/>
          <w:szCs w:val="24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宋体"/>
          <w:sz w:val="24"/>
          <w:szCs w:val="24"/>
        </w:rPr>
        <w:t xml:space="preserve">  </w:t>
      </w:r>
      <w:r>
        <w:rPr>
          <w:rFonts w:hint="eastAsia" w:ascii="宋体" w:hAnsi="宋体"/>
          <w:position w:val="-6"/>
          <w:sz w:val="24"/>
          <w:szCs w:val="24"/>
        </w:rPr>
        <w:object>
          <v:shape id="_x0000_i1046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3" ShapeID="_x0000_i1046" DrawAspect="Content" ObjectID="_1468075747" r:id="rId48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/>
          <w:sz w:val="24"/>
          <w:szCs w:val="24"/>
        </w:rPr>
      </w:pPr>
    </w:p>
    <w:sectPr>
      <w:pgSz w:w="11906" w:h="16838"/>
      <w:pgMar w:top="1440" w:right="1800" w:bottom="9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A4002FF"/>
    <w:rsid w:val="000242F2"/>
    <w:rsid w:val="000265DF"/>
    <w:rsid w:val="000872E3"/>
    <w:rsid w:val="000C0D1F"/>
    <w:rsid w:val="000F683F"/>
    <w:rsid w:val="00101169"/>
    <w:rsid w:val="00164D55"/>
    <w:rsid w:val="0017518F"/>
    <w:rsid w:val="00186FDF"/>
    <w:rsid w:val="00271BE8"/>
    <w:rsid w:val="00296832"/>
    <w:rsid w:val="002B7DDD"/>
    <w:rsid w:val="002F7DC5"/>
    <w:rsid w:val="003938AD"/>
    <w:rsid w:val="003D0A1E"/>
    <w:rsid w:val="004235EF"/>
    <w:rsid w:val="005710D4"/>
    <w:rsid w:val="005C11C5"/>
    <w:rsid w:val="006267BC"/>
    <w:rsid w:val="00643CCA"/>
    <w:rsid w:val="00646533"/>
    <w:rsid w:val="006936C9"/>
    <w:rsid w:val="0090347D"/>
    <w:rsid w:val="00922B82"/>
    <w:rsid w:val="009725DB"/>
    <w:rsid w:val="00A35FFC"/>
    <w:rsid w:val="00A95518"/>
    <w:rsid w:val="00AF7433"/>
    <w:rsid w:val="00B16D0B"/>
    <w:rsid w:val="00B27F67"/>
    <w:rsid w:val="00B46B76"/>
    <w:rsid w:val="00C02AC2"/>
    <w:rsid w:val="00C06A42"/>
    <w:rsid w:val="00C538FB"/>
    <w:rsid w:val="00CA7D2C"/>
    <w:rsid w:val="00D4393A"/>
    <w:rsid w:val="00DF031D"/>
    <w:rsid w:val="00E64DAA"/>
    <w:rsid w:val="00E7057A"/>
    <w:rsid w:val="00EC463F"/>
    <w:rsid w:val="00EE5176"/>
    <w:rsid w:val="00F11C8E"/>
    <w:rsid w:val="00F15633"/>
    <w:rsid w:val="00F52F42"/>
    <w:rsid w:val="00F53584"/>
    <w:rsid w:val="00F943FD"/>
    <w:rsid w:val="00FA1816"/>
    <w:rsid w:val="00FC09C0"/>
    <w:rsid w:val="00FC3C15"/>
    <w:rsid w:val="00FE0E57"/>
    <w:rsid w:val="0A4002FF"/>
    <w:rsid w:val="21D572DB"/>
    <w:rsid w:val="35D842DF"/>
    <w:rsid w:val="3FAA750B"/>
    <w:rsid w:val="54DE5749"/>
    <w:rsid w:val="5A7E5223"/>
    <w:rsid w:val="666D3ABC"/>
    <w:rsid w:val="71203D4F"/>
    <w:rsid w:val="7F89726F"/>
    <w:rsid w:val="7FEE00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99"/>
    <w:pPr>
      <w:spacing w:line="480" w:lineRule="auto"/>
      <w:ind w:firstLine="629" w:firstLineChars="262"/>
    </w:pPr>
    <w:rPr>
      <w:sz w:val="24"/>
      <w:szCs w:val="20"/>
    </w:rPr>
  </w:style>
  <w:style w:type="paragraph" w:styleId="3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7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9">
    <w:name w:val="批注框文本 Char"/>
    <w:basedOn w:val="7"/>
    <w:link w:val="3"/>
    <w:semiHidden/>
    <w:qFormat/>
    <w:locked/>
    <w:uiPriority w:val="99"/>
    <w:rPr>
      <w:rFonts w:cs="Times New Roman"/>
      <w:sz w:val="2"/>
    </w:rPr>
  </w:style>
  <w:style w:type="character" w:customStyle="1" w:styleId="10">
    <w:name w:val="页眉 Char"/>
    <w:basedOn w:val="7"/>
    <w:link w:val="5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1" Type="http://schemas.openxmlformats.org/officeDocument/2006/relationships/fontTable" Target="fontTable.xml"/><Relationship Id="rId50" Type="http://schemas.openxmlformats.org/officeDocument/2006/relationships/customXml" Target="../customXml/item1.xml"/><Relationship Id="rId5" Type="http://schemas.openxmlformats.org/officeDocument/2006/relationships/image" Target="media/image1.wmf"/><Relationship Id="rId49" Type="http://schemas.openxmlformats.org/officeDocument/2006/relationships/image" Target="media/image23.wmf"/><Relationship Id="rId48" Type="http://schemas.openxmlformats.org/officeDocument/2006/relationships/oleObject" Target="embeddings/oleObject23.bin"/><Relationship Id="rId47" Type="http://schemas.openxmlformats.org/officeDocument/2006/relationships/image" Target="media/image22.wmf"/><Relationship Id="rId46" Type="http://schemas.openxmlformats.org/officeDocument/2006/relationships/oleObject" Target="embeddings/oleObject22.bin"/><Relationship Id="rId45" Type="http://schemas.openxmlformats.org/officeDocument/2006/relationships/image" Target="media/image21.wmf"/><Relationship Id="rId44" Type="http://schemas.openxmlformats.org/officeDocument/2006/relationships/oleObject" Target="embeddings/oleObject21.bin"/><Relationship Id="rId43" Type="http://schemas.openxmlformats.org/officeDocument/2006/relationships/image" Target="media/image20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9.bin"/><Relationship Id="rId4" Type="http://schemas.openxmlformats.org/officeDocument/2006/relationships/oleObject" Target="embeddings/oleObject1.bin"/><Relationship Id="rId39" Type="http://schemas.openxmlformats.org/officeDocument/2006/relationships/image" Target="media/image18.wmf"/><Relationship Id="rId38" Type="http://schemas.openxmlformats.org/officeDocument/2006/relationships/oleObject" Target="embeddings/oleObject18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2017-03-28T06:51:00Z</dcterms:created>
  <dc:creator>apple1</dc:creator>
  <cp:lastModifiedBy>德福</cp:lastModifiedBy>
  <cp:lastPrinted>2017-03-28T07:37:00Z</cp:lastPrinted>
  <dcterms:modified xsi:type="dcterms:W3CDTF">2021-07-10T03:22:55Z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BA5AFB2042A041849D254FE863D33015</vt:lpwstr>
  </property>
</Properties>
</file>