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广西建邕工程有限公司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市政</w:t>
            </w:r>
            <w:r>
              <w:rPr>
                <w:rFonts w:hint="eastAsia"/>
                <w:b/>
                <w:sz w:val="20"/>
                <w:lang w:val="en-US" w:eastAsia="zh-CN"/>
              </w:rPr>
              <w:t>施工</w:t>
            </w:r>
            <w:r>
              <w:rPr>
                <w:rFonts w:hint="eastAsia"/>
                <w:b/>
                <w:sz w:val="20"/>
              </w:rPr>
              <w:t>工程流程：签订合同—组建项目部—编制施工组织设计—组织施工—过程检验—分部分项验收—竣工验收—交付及交付后的活动。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隐蔽工程、焊接过程</w:t>
            </w:r>
            <w:r>
              <w:rPr>
                <w:rFonts w:hint="eastAsia"/>
                <w:b/>
                <w:sz w:val="20"/>
              </w:rPr>
              <w:t>制定作业指导书及专项施工方案等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固废排放、粉尘排放、噪声排放、污水排放、火灾、植被破坏、文物损坏等7项；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评价确定了重要环境因素和不可接受风险并进行了重点控制，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不可接受风险有以下项：坍塌、高处坠落、起重伤害、物体打击、机械伤害、触电、中暑、火灾爆炸、交通事故、暴雨伤害等项，制定了</w:t>
            </w:r>
            <w:r>
              <w:rPr>
                <w:rFonts w:hint="eastAsia"/>
                <w:b/>
                <w:sz w:val="20"/>
                <w:lang w:val="en-US" w:eastAsia="zh-CN"/>
              </w:rPr>
              <w:t>相</w:t>
            </w:r>
            <w:r>
              <w:rPr>
                <w:rFonts w:hint="eastAsia"/>
                <w:b/>
                <w:sz w:val="20"/>
              </w:rPr>
              <w:t>应的管理方案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、中华人民共和国产品质量法2000/9/1 、2、中华人民共和国合同法1999/10/1、3、中华人民共和国消费者权益保护法2014/3/15、4、中华人民共和国标准化法2017/11/4、5、中华人民共和国计量法2017/12/27、6、中华人民共和国环境保护法2015/1/1、7、中华人民共和国水污染防治法2018/1/1、8、中华人民共和国环境噪声污染防治法1997/3/1、9、中华人民共和国固体废物污染环境防治法 2016/11/7….、GB 50300-2001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ab/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《建筑工程施工质量验收统一标准》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施工执行：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GB 50202-2018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《河道整治设计规范》（GB50707-2011）；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《城市防洪设计规范》（GB/T50805-2012）；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《室外排水设计规范》（GB50014-2006）(2016版)；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《室外给水设计规范》（GB50013-2006）；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《疏浚与吹填工程技术规范》（SL17-2014）；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《地下防水工程质量验收规范》（GB50208-2011）；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《钢筋焊接及验收规程》（JGJ18-2012）；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《防腐蚀工程施工操作规程》（YSJ411-89）；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《地基与基础工程施工操作规程》（YSJ402-89）；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《疏浚与吹填工程质量检验标准》(JTJ324-2006)；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《预制混凝土构件质量检验评定标准》（GBJ321-90）；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《建筑工程施工质量验收统一标准》 (GB50300-2013)；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《混凝土结构工程施工质量验收规范》 (GB50204-2015)； 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《砌体工程施工质量验收规范》 (GB50203-2011)；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《建筑地基基础施工质量验收规范》(GB50202-2002)；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《建筑桩基技术规范》（JGJ94-2008）；</w:t>
            </w:r>
          </w:p>
          <w:p>
            <w:pPr>
              <w:ind w:firstLine="48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《给水排水管道工程施工及验收规范》(GB50268-2008)；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《水利水电工程施工组织设计规范》（SL303-2004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第三方检查，出具检测报告及分部分项验收报告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spacing w:line="300" w:lineRule="exact"/>
              <w:ind w:firstLine="48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1、工程项目内容是否在企业资质范围内；</w:t>
            </w:r>
          </w:p>
          <w:p>
            <w:pPr>
              <w:pStyle w:val="4"/>
              <w:spacing w:line="300" w:lineRule="exact"/>
              <w:ind w:firstLine="48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2、建设工程项目开工须获取建设单位提供的开工许可；</w:t>
            </w:r>
          </w:p>
          <w:p>
            <w:pPr>
              <w:pStyle w:val="4"/>
              <w:spacing w:line="300" w:lineRule="exact"/>
              <w:ind w:firstLine="420" w:firstLineChars="20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3、工程使用的材料、设备需进场验收并记录；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4、</w:t>
            </w:r>
            <w:r>
              <w:rPr>
                <w:rFonts w:hint="eastAsia" w:hAnsi="宋体" w:cs="楷体_GB2312"/>
                <w:sz w:val="21"/>
                <w:szCs w:val="21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64770</wp:posOffset>
            </wp:positionV>
            <wp:extent cx="617855" cy="410845"/>
            <wp:effectExtent l="0" t="0" r="10795" b="8255"/>
            <wp:wrapNone/>
            <wp:docPr id="5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34925</wp:posOffset>
            </wp:positionV>
            <wp:extent cx="617855" cy="410845"/>
            <wp:effectExtent l="0" t="0" r="10795" b="8255"/>
            <wp:wrapNone/>
            <wp:docPr id="6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9204960</wp:posOffset>
            </wp:positionV>
            <wp:extent cx="551815" cy="293370"/>
            <wp:effectExtent l="0" t="0" r="635" b="11430"/>
            <wp:wrapNone/>
            <wp:docPr id="2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DA68"/>
    <w:multiLevelType w:val="multilevel"/>
    <w:tmpl w:val="AAAFDA68"/>
    <w:lvl w:ilvl="0" w:tentative="0">
      <w:start w:val="1"/>
      <w:numFmt w:val="decimal"/>
      <w:lvlText w:val="第%1章 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 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suff w:val="nothing"/>
      <w:lvlText w:val="%1.%2.%3.%4.%5"/>
      <w:lvlJc w:val="left"/>
      <w:pPr>
        <w:tabs>
          <w:tab w:val="left" w:pos="420"/>
        </w:tabs>
        <w:ind w:left="0" w:firstLine="425"/>
      </w:pPr>
      <w:rPr>
        <w:rFonts w:hint="default" w:ascii="宋体" w:hAnsi="宋体" w:eastAsia="宋体" w:cs="宋体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25"/>
      </w:pPr>
      <w:rPr>
        <w:rFonts w:hint="eastAsia" w:ascii="宋体" w:hAnsi="宋体" w:eastAsia="宋体" w:cs="宋体"/>
      </w:rPr>
    </w:lvl>
    <w:lvl w:ilvl="6" w:tentative="0">
      <w:start w:val="1"/>
      <w:numFmt w:val="decimal"/>
      <w:suff w:val="nothing"/>
      <w:lvlText w:val="%7）"/>
      <w:lvlJc w:val="left"/>
      <w:pPr>
        <w:ind w:left="0" w:firstLine="425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95637CB"/>
    <w:rsid w:val="469009F1"/>
    <w:rsid w:val="53C11208"/>
    <w:rsid w:val="5D167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locked/>
    <w:uiPriority w:val="0"/>
    <w:pPr>
      <w:keepNext/>
      <w:keepLines/>
      <w:numPr>
        <w:ilvl w:val="1"/>
        <w:numId w:val="1"/>
      </w:numPr>
      <w:adjustRightInd w:val="0"/>
      <w:spacing w:after="300"/>
      <w:ind w:firstLine="0" w:firstLineChars="0"/>
      <w:jc w:val="left"/>
      <w:outlineLvl w:val="1"/>
    </w:pPr>
    <w:rPr>
      <w:color w:val="00B05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2021-07-07T15:19:22Z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F9F9FA8B54504F5086F90F882016ACC9</vt:lpwstr>
  </property>
</Properties>
</file>