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79"/>
        <w:gridCol w:w="1480"/>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广西建邕工程有限公司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772" w:type="dxa"/>
            <w:gridSpan w:val="5"/>
            <w:vAlign w:val="center"/>
          </w:tcPr>
          <w:p>
            <w:pPr>
              <w:rPr>
                <w:sz w:val="21"/>
                <w:szCs w:val="21"/>
              </w:rPr>
            </w:pPr>
            <w:bookmarkStart w:id="1" w:name="合同编号"/>
            <w:r>
              <w:rPr>
                <w:sz w:val="21"/>
                <w:szCs w:val="21"/>
              </w:rPr>
              <w:t>0686-2021-QJEO</w:t>
            </w:r>
            <w:bookmarkEnd w:id="1"/>
          </w:p>
        </w:tc>
        <w:tc>
          <w:tcPr>
            <w:tcW w:w="1480"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772" w:type="dxa"/>
            <w:gridSpan w:val="5"/>
            <w:vAlign w:val="center"/>
          </w:tcPr>
          <w:p>
            <w:pPr>
              <w:rPr>
                <w:sz w:val="21"/>
                <w:szCs w:val="21"/>
              </w:rPr>
            </w:pPr>
            <w:bookmarkStart w:id="4" w:name="联系人"/>
            <w:r>
              <w:rPr>
                <w:sz w:val="21"/>
                <w:szCs w:val="21"/>
              </w:rPr>
              <w:t>朱炳</w:t>
            </w:r>
            <w:bookmarkEnd w:id="4"/>
          </w:p>
        </w:tc>
        <w:tc>
          <w:tcPr>
            <w:tcW w:w="1480"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5" w:name="联系人电话"/>
            <w:r>
              <w:rPr>
                <w:sz w:val="21"/>
                <w:szCs w:val="21"/>
              </w:rPr>
              <w:t>18776760088</w:t>
            </w:r>
            <w:bookmarkEnd w:id="5"/>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6" w:name="联系人邮箱"/>
            <w:r>
              <w:rPr>
                <w:sz w:val="21"/>
                <w:szCs w:val="21"/>
              </w:rPr>
              <w:t>915635258@qq.com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772" w:type="dxa"/>
            <w:gridSpan w:val="5"/>
            <w:vAlign w:val="center"/>
          </w:tcPr>
          <w:p>
            <w:pPr>
              <w:rPr>
                <w:rFonts w:hint="default" w:eastAsia="宋体"/>
                <w:lang w:val="en-US" w:eastAsia="zh-CN"/>
              </w:rPr>
            </w:pPr>
            <w:bookmarkStart w:id="7" w:name="最高管理者"/>
            <w:bookmarkEnd w:id="7"/>
            <w:r>
              <w:rPr>
                <w:rFonts w:hint="eastAsia"/>
                <w:lang w:val="en-US" w:eastAsia="zh-CN"/>
              </w:rPr>
              <w:t>丁得志</w:t>
            </w:r>
            <w:bookmarkStart w:id="13" w:name="_GoBack"/>
            <w:bookmarkEnd w:id="13"/>
          </w:p>
        </w:tc>
        <w:tc>
          <w:tcPr>
            <w:tcW w:w="1480" w:type="dxa"/>
            <w:vAlign w:val="center"/>
          </w:tcPr>
          <w:p>
            <w:pPr>
              <w:rPr>
                <w:sz w:val="21"/>
                <w:szCs w:val="21"/>
              </w:rPr>
            </w:pPr>
            <w:r>
              <w:rPr>
                <w:rFonts w:hint="eastAsia"/>
                <w:sz w:val="21"/>
                <w:szCs w:val="21"/>
              </w:rPr>
              <w:t>传真</w:t>
            </w:r>
          </w:p>
        </w:tc>
        <w:tc>
          <w:tcPr>
            <w:tcW w:w="1701" w:type="dxa"/>
            <w:gridSpan w:val="2"/>
            <w:vAlign w:val="center"/>
          </w:tcPr>
          <w:p>
            <w:bookmarkStart w:id="8" w:name="联系人传真"/>
            <w:bookmarkEnd w:id="8"/>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9" w:name="审核范围"/>
            <w:r>
              <w:t>EC：资质范围内的市政基础设施项目工程总承包</w:t>
            </w:r>
          </w:p>
          <w:p>
            <w:r>
              <w:t>E：资质范围内的市政基础设施项目工程总承包所涉及场所的相关环境管理活动</w:t>
            </w:r>
          </w:p>
          <w:p>
            <w:r>
              <w:t>O：资质范围内的市政基础设施项目工程总承包所涉及场所的相关职业健康安全管理活动</w:t>
            </w:r>
            <w:bookmarkEnd w:id="9"/>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0" w:name="专业代码"/>
            <w:r>
              <w:t>EC：28.04.01</w:t>
            </w:r>
          </w:p>
          <w:p>
            <w:r>
              <w:t>E：28.04.01</w:t>
            </w:r>
          </w:p>
          <w:p>
            <w:r>
              <w:t>O：28.04.01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1" w:name="审核依据"/>
            <w:r>
              <w:rPr>
                <w:rFonts w:hint="eastAsia" w:ascii="宋体" w:hAnsi="宋体"/>
                <w:b/>
                <w:sz w:val="21"/>
                <w:szCs w:val="21"/>
              </w:rPr>
              <w:t>EC：GB/T19001-2016/ISO9001:2015和GB/T50430-2017,E：GB/T 24001-2016/ISO14001:2015,O：GB/T45001-2020 / ISO45001：2018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2021年07月03日 上午至2021年07月04日 下午 (共2.0天)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362" w:type="dxa"/>
            <w:gridSpan w:val="3"/>
            <w:vAlign w:val="center"/>
          </w:tcPr>
          <w:p>
            <w:pPr>
              <w:jc w:val="center"/>
              <w:rPr>
                <w:sz w:val="21"/>
                <w:szCs w:val="21"/>
              </w:rPr>
            </w:pPr>
            <w:r>
              <w:rPr>
                <w:rFonts w:hint="eastAsia"/>
                <w:sz w:val="21"/>
                <w:szCs w:val="21"/>
              </w:rPr>
              <w:t>注册资格</w:t>
            </w:r>
          </w:p>
        </w:tc>
        <w:tc>
          <w:tcPr>
            <w:tcW w:w="3181" w:type="dxa"/>
            <w:gridSpan w:val="3"/>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李凤仪</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362" w:type="dxa"/>
            <w:gridSpan w:val="3"/>
            <w:vAlign w:val="center"/>
          </w:tcPr>
          <w:p>
            <w:pPr>
              <w:jc w:val="center"/>
              <w:rPr>
                <w:sz w:val="21"/>
                <w:szCs w:val="21"/>
              </w:rPr>
            </w:pPr>
            <w:r>
              <w:rPr>
                <w:sz w:val="21"/>
                <w:szCs w:val="21"/>
              </w:rPr>
              <w:t>EC:审核员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81" w:type="dxa"/>
            <w:gridSpan w:val="3"/>
            <w:vAlign w:val="center"/>
          </w:tcPr>
          <w:p>
            <w:pPr>
              <w:jc w:val="center"/>
              <w:rPr>
                <w:sz w:val="21"/>
                <w:szCs w:val="21"/>
              </w:rPr>
            </w:pPr>
            <w:r>
              <w:rPr>
                <w:sz w:val="21"/>
                <w:szCs w:val="21"/>
              </w:rPr>
              <w:t>EC:28.04.01</w:t>
            </w:r>
          </w:p>
          <w:p>
            <w:pPr>
              <w:jc w:val="center"/>
              <w:rPr>
                <w:sz w:val="21"/>
                <w:szCs w:val="21"/>
              </w:rPr>
            </w:pPr>
            <w:r>
              <w:rPr>
                <w:sz w:val="21"/>
                <w:szCs w:val="21"/>
              </w:rPr>
              <w:t>E:28.04.01</w:t>
            </w:r>
          </w:p>
          <w:p>
            <w:pPr>
              <w:jc w:val="center"/>
              <w:rPr>
                <w:sz w:val="21"/>
                <w:szCs w:val="21"/>
              </w:rPr>
            </w:pPr>
            <w:r>
              <w:rPr>
                <w:sz w:val="21"/>
                <w:szCs w:val="21"/>
              </w:rPr>
              <w:t>O:28.04.01</w:t>
            </w:r>
          </w:p>
        </w:tc>
        <w:tc>
          <w:tcPr>
            <w:tcW w:w="1559" w:type="dxa"/>
            <w:gridSpan w:val="4"/>
            <w:vAlign w:val="center"/>
          </w:tcPr>
          <w:p>
            <w:pPr>
              <w:jc w:val="center"/>
              <w:rPr>
                <w:sz w:val="21"/>
                <w:szCs w:val="21"/>
              </w:rPr>
            </w:pPr>
            <w:r>
              <w:rPr>
                <w:sz w:val="21"/>
                <w:szCs w:val="21"/>
              </w:rPr>
              <w:t>13204010599</w:t>
            </w:r>
          </w:p>
        </w:tc>
        <w:tc>
          <w:tcPr>
            <w:tcW w:w="1229" w:type="dxa"/>
            <w:vAlign w:val="center"/>
          </w:tcPr>
          <w:p>
            <w:pPr>
              <w:jc w:val="center"/>
              <w:rPr>
                <w:sz w:val="21"/>
                <w:szCs w:val="21"/>
              </w:rPr>
            </w:pPr>
            <w:r>
              <w:rPr>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伍光华</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362" w:type="dxa"/>
            <w:gridSpan w:val="3"/>
            <w:vAlign w:val="center"/>
          </w:tcPr>
          <w:p>
            <w:pPr>
              <w:jc w:val="center"/>
              <w:rPr>
                <w:sz w:val="21"/>
                <w:szCs w:val="21"/>
              </w:rPr>
            </w:pPr>
            <w:r>
              <w:rPr>
                <w:rFonts w:hint="eastAsia"/>
                <w:sz w:val="21"/>
                <w:szCs w:val="21"/>
                <w:lang w:val="en-US" w:eastAsia="zh-CN"/>
              </w:rPr>
              <w:t>Q</w:t>
            </w:r>
            <w:r>
              <w:rPr>
                <w:sz w:val="21"/>
                <w:szCs w:val="21"/>
              </w:rPr>
              <w:t>:审核员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81" w:type="dxa"/>
            <w:gridSpan w:val="3"/>
            <w:vAlign w:val="center"/>
          </w:tcPr>
          <w:p>
            <w:pPr>
              <w:jc w:val="center"/>
              <w:rPr>
                <w:sz w:val="21"/>
                <w:szCs w:val="21"/>
              </w:rPr>
            </w:pPr>
          </w:p>
        </w:tc>
        <w:tc>
          <w:tcPr>
            <w:tcW w:w="1559" w:type="dxa"/>
            <w:gridSpan w:val="4"/>
            <w:vAlign w:val="center"/>
          </w:tcPr>
          <w:p>
            <w:pPr>
              <w:jc w:val="center"/>
              <w:rPr>
                <w:sz w:val="21"/>
                <w:szCs w:val="21"/>
              </w:rPr>
            </w:pPr>
            <w:r>
              <w:rPr>
                <w:sz w:val="21"/>
                <w:szCs w:val="21"/>
              </w:rPr>
              <w:t>13907930788</w:t>
            </w:r>
          </w:p>
        </w:tc>
        <w:tc>
          <w:tcPr>
            <w:tcW w:w="1229" w:type="dxa"/>
            <w:vAlign w:val="center"/>
          </w:tcPr>
          <w:p>
            <w:pPr>
              <w:jc w:val="center"/>
              <w:rPr>
                <w:sz w:val="21"/>
                <w:szCs w:val="21"/>
              </w:rPr>
            </w:pPr>
            <w:r>
              <w:rPr>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sz w:val="21"/>
                <w:szCs w:val="21"/>
                <w:lang w:val="en-US" w:eastAsia="zh-CN"/>
              </w:rPr>
              <w:t>李凤仪</w:t>
            </w: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rFonts w:hint="eastAsia"/>
                <w:sz w:val="21"/>
                <w:szCs w:val="21"/>
                <w:lang w:val="en-US" w:eastAsia="zh-CN"/>
              </w:rPr>
              <w:t>13204010599</w:t>
            </w: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r>
              <w:rPr>
                <w:rFonts w:hint="eastAsia"/>
                <w:sz w:val="21"/>
                <w:szCs w:val="21"/>
                <w:lang w:val="en-US" w:eastAsia="zh-CN"/>
              </w:rPr>
              <w:t>2021.7.1</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r>
              <w:rPr>
                <w:rFonts w:hint="eastAsia"/>
                <w:sz w:val="21"/>
                <w:szCs w:val="21"/>
                <w:lang w:val="en-US" w:eastAsia="zh-CN"/>
              </w:rPr>
              <w:t>2021.7.1</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16"/>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0"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16"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100" w:type="dxa"/>
            <w:vMerge w:val="restart"/>
            <w:tcBorders>
              <w:left w:val="single" w:color="auto" w:sz="8" w:space="0"/>
            </w:tcBorders>
            <w:vAlign w:val="center"/>
          </w:tcPr>
          <w:p>
            <w:pPr>
              <w:snapToGrid w:val="0"/>
              <w:spacing w:line="280" w:lineRule="exact"/>
              <w:jc w:val="center"/>
              <w:rPr>
                <w:b/>
                <w:sz w:val="20"/>
              </w:rPr>
            </w:pPr>
            <w:r>
              <w:rPr>
                <w:rFonts w:hint="eastAsia" w:ascii="宋体" w:hAnsi="宋体"/>
                <w:b/>
                <w:bCs/>
                <w:sz w:val="21"/>
                <w:szCs w:val="21"/>
                <w:highlight w:val="none"/>
                <w:lang w:val="en-US" w:eastAsia="zh-CN"/>
              </w:rPr>
              <w:t>7</w:t>
            </w:r>
            <w:r>
              <w:rPr>
                <w:rFonts w:hint="eastAsia" w:ascii="宋体" w:hAnsi="宋体"/>
                <w:b/>
                <w:bCs/>
                <w:sz w:val="21"/>
                <w:szCs w:val="21"/>
                <w:highlight w:val="none"/>
              </w:rPr>
              <w:t>月</w:t>
            </w:r>
            <w:r>
              <w:rPr>
                <w:rFonts w:hint="eastAsia" w:ascii="宋体" w:hAnsi="宋体"/>
                <w:b/>
                <w:bCs/>
                <w:sz w:val="21"/>
                <w:szCs w:val="21"/>
                <w:highlight w:val="none"/>
                <w:lang w:val="en-US" w:eastAsia="zh-CN"/>
              </w:rPr>
              <w:t>3</w:t>
            </w:r>
            <w:r>
              <w:rPr>
                <w:rFonts w:hint="eastAsia" w:ascii="宋体" w:hAnsi="宋体"/>
                <w:b/>
                <w:bCs/>
                <w:sz w:val="21"/>
                <w:szCs w:val="21"/>
                <w:highlight w:val="none"/>
              </w:rPr>
              <w:t>日</w:t>
            </w: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b/>
                <w:sz w:val="20"/>
              </w:rPr>
            </w:pPr>
          </w:p>
          <w:p>
            <w:pPr>
              <w:snapToGrid w:val="0"/>
              <w:spacing w:line="280" w:lineRule="exact"/>
              <w:jc w:val="center"/>
              <w:rPr>
                <w:sz w:val="20"/>
              </w:rPr>
            </w:pPr>
          </w:p>
          <w:p>
            <w:pPr>
              <w:bidi w:val="0"/>
              <w:jc w:val="center"/>
              <w:rPr>
                <w:rFonts w:ascii="Times New Roman" w:hAnsi="Times New Roman" w:eastAsia="宋体" w:cs="Times New Roman"/>
                <w:kern w:val="2"/>
                <w:sz w:val="24"/>
                <w:lang w:val="en-US" w:eastAsia="zh-CN" w:bidi="ar-SA"/>
              </w:rPr>
            </w:pPr>
          </w:p>
          <w:p>
            <w:pPr>
              <w:bidi w:val="0"/>
              <w:jc w:val="center"/>
              <w:rPr>
                <w:lang w:val="en-US" w:eastAsia="zh-CN"/>
              </w:rPr>
            </w:pPr>
          </w:p>
          <w:p>
            <w:pPr>
              <w:bidi w:val="0"/>
              <w:jc w:val="center"/>
              <w:rPr>
                <w:lang w:val="en-US" w:eastAsia="zh-CN"/>
              </w:rPr>
            </w:pPr>
          </w:p>
          <w:p>
            <w:pPr>
              <w:bidi w:val="0"/>
              <w:jc w:val="center"/>
              <w:rPr>
                <w:lang w:val="en-US" w:eastAsia="zh-CN"/>
              </w:rPr>
            </w:pPr>
          </w:p>
          <w:p>
            <w:pPr>
              <w:bidi w:val="0"/>
              <w:jc w:val="center"/>
              <w:rPr>
                <w:lang w:val="en-US" w:eastAsia="zh-CN"/>
              </w:rPr>
            </w:pPr>
            <w:r>
              <w:rPr>
                <w:sz w:val="20"/>
              </w:rPr>
              <w:pict>
                <v:line id="_x0000_s1026" o:spid="_x0000_s1026" o:spt="20" style="position:absolute;left:0pt;flip:x y;margin-left:0.2pt;margin-top:5.6pt;height:0.6pt;width:52.5pt;z-index:251659264;mso-width-relative:page;mso-height-relative:page;" filled="f" stroked="t" coordsize="21600,21600">
                  <v:path arrowok="t"/>
                  <v:fill on="f" focussize="0,0"/>
                  <v:stroke color="#000000"/>
                  <v:imagedata o:title=""/>
                  <o:lock v:ext="edit" aspectratio="f"/>
                </v:line>
              </w:pict>
            </w:r>
          </w:p>
          <w:p>
            <w:pPr>
              <w:bidi w:val="0"/>
              <w:jc w:val="center"/>
              <w:rPr>
                <w:lang w:val="en-US" w:eastAsia="zh-CN"/>
              </w:rPr>
            </w:pPr>
          </w:p>
          <w:p>
            <w:pPr>
              <w:bidi w:val="0"/>
              <w:jc w:val="center"/>
              <w:rPr>
                <w:lang w:val="en-US" w:eastAsia="zh-CN"/>
              </w:rPr>
            </w:pPr>
          </w:p>
          <w:p>
            <w:pPr>
              <w:bidi w:val="0"/>
              <w:jc w:val="center"/>
              <w:rPr>
                <w:lang w:val="en-US" w:eastAsia="zh-CN"/>
              </w:rPr>
            </w:pPr>
          </w:p>
          <w:p>
            <w:pPr>
              <w:bidi w:val="0"/>
              <w:jc w:val="center"/>
              <w:rPr>
                <w:lang w:val="en-US" w:eastAsia="zh-CN"/>
              </w:rPr>
            </w:pPr>
            <w:r>
              <w:rPr>
                <w:rFonts w:hint="eastAsia" w:ascii="宋体" w:hAnsi="宋体"/>
                <w:b/>
                <w:bCs/>
                <w:sz w:val="21"/>
                <w:szCs w:val="21"/>
                <w:highlight w:val="none"/>
                <w:lang w:val="en-US" w:eastAsia="zh-CN"/>
              </w:rPr>
              <w:t>7</w:t>
            </w:r>
            <w:r>
              <w:rPr>
                <w:rFonts w:hint="eastAsia" w:ascii="宋体" w:hAnsi="宋体"/>
                <w:b/>
                <w:bCs/>
                <w:sz w:val="21"/>
                <w:szCs w:val="21"/>
                <w:highlight w:val="none"/>
              </w:rPr>
              <w:t>月</w:t>
            </w:r>
            <w:r>
              <w:rPr>
                <w:rFonts w:hint="eastAsia" w:ascii="宋体" w:hAnsi="宋体"/>
                <w:b/>
                <w:bCs/>
                <w:sz w:val="21"/>
                <w:szCs w:val="21"/>
                <w:highlight w:val="none"/>
                <w:lang w:val="en-US" w:eastAsia="zh-CN"/>
              </w:rPr>
              <w:t>4</w:t>
            </w:r>
            <w:r>
              <w:rPr>
                <w:rFonts w:hint="eastAsia" w:ascii="宋体" w:hAnsi="宋体"/>
                <w:b/>
                <w:bCs/>
                <w:sz w:val="21"/>
                <w:szCs w:val="21"/>
                <w:highlight w:val="none"/>
              </w:rPr>
              <w:t>日</w:t>
            </w:r>
          </w:p>
        </w:tc>
        <w:tc>
          <w:tcPr>
            <w:tcW w:w="1416" w:type="dxa"/>
            <w:vAlign w:val="center"/>
          </w:tcPr>
          <w:p>
            <w:pPr>
              <w:snapToGrid w:val="0"/>
              <w:spacing w:line="280" w:lineRule="exact"/>
              <w:jc w:val="left"/>
              <w:rPr>
                <w:b/>
                <w:sz w:val="20"/>
              </w:rPr>
            </w:pPr>
            <w:r>
              <w:rPr>
                <w:rFonts w:hint="eastAsia" w:ascii="宋体" w:hAnsi="宋体"/>
                <w:b/>
                <w:bCs/>
                <w:sz w:val="21"/>
                <w:szCs w:val="21"/>
              </w:rPr>
              <w:t>8:00-8:30</w:t>
            </w:r>
          </w:p>
        </w:tc>
        <w:tc>
          <w:tcPr>
            <w:tcW w:w="6665" w:type="dxa"/>
            <w:vAlign w:val="center"/>
          </w:tcPr>
          <w:p>
            <w:pPr>
              <w:snapToGrid w:val="0"/>
              <w:spacing w:line="280" w:lineRule="exact"/>
              <w:jc w:val="left"/>
              <w:rPr>
                <w:b/>
                <w:sz w:val="20"/>
              </w:rPr>
            </w:pPr>
            <w:r>
              <w:rPr>
                <w:rFonts w:hint="eastAsia" w:ascii="宋体" w:hAnsi="宋体"/>
                <w:sz w:val="18"/>
              </w:rPr>
              <w:t>首次会议</w:t>
            </w:r>
          </w:p>
        </w:tc>
        <w:tc>
          <w:tcPr>
            <w:tcW w:w="1196" w:type="dxa"/>
            <w:vMerge w:val="restart"/>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0" w:type="dxa"/>
            <w:vMerge w:val="continue"/>
            <w:tcBorders>
              <w:left w:val="single" w:color="auto" w:sz="8" w:space="0"/>
            </w:tcBorders>
            <w:vAlign w:val="center"/>
          </w:tcPr>
          <w:p>
            <w:pPr>
              <w:snapToGrid w:val="0"/>
              <w:spacing w:line="280" w:lineRule="exact"/>
              <w:jc w:val="left"/>
              <w:rPr>
                <w:b/>
                <w:sz w:val="20"/>
              </w:rPr>
            </w:pPr>
          </w:p>
        </w:tc>
        <w:tc>
          <w:tcPr>
            <w:tcW w:w="1416" w:type="dxa"/>
            <w:vAlign w:val="center"/>
          </w:tcPr>
          <w:p>
            <w:pPr>
              <w:snapToGrid w:val="0"/>
              <w:spacing w:line="280" w:lineRule="exact"/>
              <w:jc w:val="left"/>
              <w:rPr>
                <w:b/>
                <w:sz w:val="20"/>
              </w:rPr>
            </w:pPr>
            <w:r>
              <w:rPr>
                <w:b/>
                <w:sz w:val="20"/>
              </w:rPr>
              <w:t>8：</w:t>
            </w:r>
            <w:r>
              <w:rPr>
                <w:rFonts w:hint="eastAsia"/>
                <w:b/>
                <w:sz w:val="20"/>
              </w:rPr>
              <w:t>3</w:t>
            </w:r>
            <w:r>
              <w:rPr>
                <w:b/>
                <w:sz w:val="20"/>
              </w:rPr>
              <w:t>0~1</w:t>
            </w:r>
            <w:r>
              <w:rPr>
                <w:rFonts w:hint="eastAsia"/>
                <w:b/>
                <w:sz w:val="20"/>
                <w:lang w:val="en-US" w:eastAsia="zh-CN"/>
              </w:rPr>
              <w:t>2</w:t>
            </w:r>
            <w:r>
              <w:rPr>
                <w:b/>
                <w:sz w:val="20"/>
              </w:rPr>
              <w:t>：</w:t>
            </w:r>
            <w:r>
              <w:rPr>
                <w:rFonts w:hint="eastAsia"/>
                <w:b/>
                <w:sz w:val="20"/>
              </w:rPr>
              <w:t>0</w:t>
            </w:r>
            <w:r>
              <w:rPr>
                <w:b/>
                <w:sz w:val="20"/>
              </w:rPr>
              <w:t>0</w:t>
            </w:r>
          </w:p>
          <w:p>
            <w:pPr>
              <w:snapToGrid w:val="0"/>
              <w:spacing w:line="280" w:lineRule="exact"/>
              <w:jc w:val="left"/>
              <w:rPr>
                <w:rFonts w:hint="eastAsia"/>
                <w:b/>
                <w:sz w:val="20"/>
                <w:lang w:val="en-US" w:eastAsia="zh-CN"/>
              </w:rPr>
            </w:pPr>
            <w:r>
              <w:rPr>
                <w:rFonts w:hint="eastAsia"/>
                <w:b/>
                <w:sz w:val="20"/>
                <w:lang w:val="en-US" w:eastAsia="zh-CN"/>
              </w:rPr>
              <w:t>12:00-12:30（午餐）</w:t>
            </w:r>
          </w:p>
          <w:p>
            <w:pPr>
              <w:snapToGrid w:val="0"/>
              <w:spacing w:line="280" w:lineRule="exact"/>
              <w:jc w:val="left"/>
              <w:rPr>
                <w:rFonts w:hint="eastAsia"/>
                <w:b/>
                <w:sz w:val="20"/>
                <w:lang w:val="en-US" w:eastAsia="zh-CN"/>
              </w:rPr>
            </w:pPr>
            <w:r>
              <w:rPr>
                <w:rFonts w:hint="eastAsia"/>
                <w:b/>
                <w:sz w:val="20"/>
                <w:lang w:val="en-US" w:eastAsia="zh-CN"/>
              </w:rPr>
              <w:t>12:30-17:00</w:t>
            </w:r>
          </w:p>
        </w:tc>
        <w:tc>
          <w:tcPr>
            <w:tcW w:w="6665" w:type="dxa"/>
            <w:vAlign w:val="center"/>
          </w:tcPr>
          <w:p>
            <w:pPr>
              <w:rPr>
                <w:b/>
                <w:sz w:val="20"/>
              </w:rPr>
            </w:pPr>
            <w:r>
              <w:rPr>
                <w:b/>
                <w:sz w:val="20"/>
              </w:rPr>
              <w:t>与体系推进部门访谈</w:t>
            </w:r>
          </w:p>
          <w:p>
            <w:pPr>
              <w:snapToGrid w:val="0"/>
              <w:spacing w:before="60" w:after="60"/>
              <w:jc w:val="left"/>
              <w:rPr>
                <w:rFonts w:hint="eastAsia" w:ascii="宋体" w:hAnsi="宋体"/>
                <w:sz w:val="21"/>
                <w:szCs w:val="21"/>
              </w:rPr>
            </w:pPr>
            <w:r>
              <w:rPr>
                <w:rFonts w:hint="eastAsia" w:ascii="宋体" w:hAnsi="宋体"/>
                <w:sz w:val="21"/>
                <w:szCs w:val="21"/>
              </w:rPr>
              <w:t>组织管理体系文件的建立</w:t>
            </w:r>
            <w:r>
              <w:rPr>
                <w:rFonts w:hint="eastAsia" w:ascii="宋体" w:hAnsi="宋体"/>
                <w:sz w:val="21"/>
                <w:szCs w:val="21"/>
                <w:lang w:val="en-US" w:eastAsia="zh-CN"/>
              </w:rPr>
              <w:t>及</w:t>
            </w:r>
            <w:r>
              <w:rPr>
                <w:rFonts w:hint="eastAsia" w:ascii="宋体" w:hAnsi="宋体"/>
                <w:sz w:val="21"/>
                <w:szCs w:val="21"/>
              </w:rPr>
              <w:t>实施情况，组织机构设置和职责的规定情况</w:t>
            </w:r>
          </w:p>
          <w:p>
            <w:pPr>
              <w:rPr>
                <w:rFonts w:ascii="宋体" w:hAnsi="宋体"/>
                <w:sz w:val="21"/>
                <w:szCs w:val="21"/>
              </w:rPr>
            </w:pPr>
            <w:r>
              <w:rPr>
                <w:rFonts w:hint="eastAsia" w:ascii="宋体" w:hAnsi="宋体"/>
                <w:sz w:val="21"/>
                <w:szCs w:val="21"/>
              </w:rPr>
              <w:t>管理层及</w:t>
            </w:r>
            <w:r>
              <w:rPr>
                <w:rFonts w:hint="eastAsia" w:ascii="宋体" w:hAnsi="宋体"/>
                <w:sz w:val="21"/>
                <w:szCs w:val="21"/>
                <w:lang w:val="en-US" w:eastAsia="zh-CN"/>
              </w:rPr>
              <w:t>行政</w:t>
            </w:r>
            <w:r>
              <w:rPr>
                <w:rFonts w:hint="eastAsia" w:ascii="宋体" w:hAnsi="宋体"/>
                <w:sz w:val="21"/>
                <w:szCs w:val="21"/>
              </w:rPr>
              <w:t>部、工程部、</w:t>
            </w:r>
            <w:r>
              <w:rPr>
                <w:rFonts w:hint="eastAsia" w:ascii="宋体" w:hAnsi="宋体"/>
                <w:sz w:val="21"/>
                <w:szCs w:val="21"/>
                <w:lang w:val="en-US" w:eastAsia="zh-CN"/>
              </w:rPr>
              <w:t>市场部、</w:t>
            </w:r>
            <w:r>
              <w:rPr>
                <w:rFonts w:hint="eastAsia" w:ascii="宋体" w:hAnsi="宋体"/>
                <w:sz w:val="21"/>
                <w:szCs w:val="21"/>
              </w:rPr>
              <w:t>财务部</w:t>
            </w:r>
          </w:p>
          <w:p>
            <w:pPr>
              <w:snapToGrid w:val="0"/>
              <w:spacing w:before="60" w:after="60"/>
              <w:jc w:val="left"/>
              <w:rPr>
                <w:rFonts w:hint="eastAsia" w:ascii="宋体" w:hAnsi="宋体"/>
                <w:sz w:val="21"/>
                <w:szCs w:val="21"/>
              </w:rPr>
            </w:pPr>
            <w:r>
              <w:rPr>
                <w:rFonts w:hint="eastAsia" w:ascii="宋体" w:hAnsi="宋体"/>
                <w:sz w:val="21"/>
                <w:szCs w:val="21"/>
              </w:rPr>
              <w:t>查最高管理层及管理者代表、职业健康代表与组织的文件是否一致</w:t>
            </w:r>
          </w:p>
          <w:p>
            <w:pPr>
              <w:snapToGrid w:val="0"/>
              <w:spacing w:before="60" w:after="60"/>
              <w:jc w:val="left"/>
              <w:rPr>
                <w:rFonts w:hint="default" w:ascii="宋体" w:hAnsi="宋体"/>
                <w:sz w:val="21"/>
                <w:szCs w:val="21"/>
                <w:lang w:val="en-US"/>
              </w:rPr>
            </w:pPr>
            <w:r>
              <w:rPr>
                <w:rFonts w:hint="eastAsia" w:ascii="宋体" w:hAnsi="宋体"/>
                <w:sz w:val="21"/>
                <w:szCs w:val="21"/>
              </w:rPr>
              <w:t>任命管理者代表，体系人数：Q</w:t>
            </w:r>
            <w:r>
              <w:rPr>
                <w:rFonts w:ascii="宋体" w:hAnsi="宋体"/>
                <w:sz w:val="21"/>
                <w:szCs w:val="21"/>
              </w:rPr>
              <w:t>J</w:t>
            </w:r>
            <w:r>
              <w:rPr>
                <w:rFonts w:hint="eastAsia" w:ascii="宋体" w:hAnsi="宋体"/>
                <w:sz w:val="21"/>
                <w:szCs w:val="21"/>
                <w:lang w:val="en-US" w:eastAsia="zh-CN"/>
              </w:rPr>
              <w:t>管理体系</w:t>
            </w:r>
            <w:r>
              <w:rPr>
                <w:rFonts w:hint="eastAsia" w:ascii="宋体" w:hAnsi="宋体"/>
                <w:sz w:val="21"/>
                <w:szCs w:val="21"/>
              </w:rPr>
              <w:t>不适用的条款</w:t>
            </w:r>
            <w:r>
              <w:rPr>
                <w:rFonts w:hint="eastAsia" w:ascii="宋体" w:hAnsi="宋体"/>
                <w:sz w:val="21"/>
                <w:szCs w:val="21"/>
                <w:lang w:val="en-US" w:eastAsia="zh-CN"/>
              </w:rPr>
              <w:t>及说明不适用说明的合理性。</w:t>
            </w:r>
          </w:p>
          <w:p>
            <w:pPr>
              <w:snapToGrid w:val="0"/>
              <w:spacing w:before="60" w:after="60"/>
              <w:jc w:val="left"/>
              <w:rPr>
                <w:rFonts w:hint="eastAsia" w:ascii="宋体" w:hAnsi="宋体"/>
                <w:sz w:val="21"/>
                <w:szCs w:val="21"/>
              </w:rPr>
            </w:pPr>
          </w:p>
          <w:p>
            <w:pPr>
              <w:snapToGrid w:val="0"/>
              <w:spacing w:before="60" w:after="60"/>
              <w:jc w:val="left"/>
              <w:rPr>
                <w:rFonts w:ascii="宋体" w:hAnsi="宋体"/>
                <w:b/>
                <w:bCs/>
                <w:sz w:val="21"/>
                <w:szCs w:val="21"/>
              </w:rPr>
            </w:pPr>
            <w:r>
              <w:rPr>
                <w:rFonts w:hint="eastAsia" w:ascii="宋体" w:hAnsi="宋体"/>
                <w:b/>
                <w:bCs/>
                <w:sz w:val="21"/>
                <w:szCs w:val="21"/>
              </w:rPr>
              <w:t>内部审核策划和实施</w:t>
            </w:r>
            <w:r>
              <w:rPr>
                <w:rFonts w:hint="eastAsia" w:ascii="宋体" w:hAnsi="宋体"/>
                <w:b/>
                <w:bCs/>
                <w:sz w:val="21"/>
                <w:szCs w:val="21"/>
                <w:lang w:val="en-US" w:eastAsia="zh-CN"/>
              </w:rPr>
              <w:t>的基本</w:t>
            </w:r>
            <w:r>
              <w:rPr>
                <w:rFonts w:hint="eastAsia" w:ascii="宋体" w:hAnsi="宋体"/>
                <w:b/>
                <w:bCs/>
                <w:sz w:val="21"/>
                <w:szCs w:val="21"/>
              </w:rPr>
              <w:t>情况。组织进行管理评审的</w:t>
            </w:r>
            <w:r>
              <w:rPr>
                <w:rFonts w:hint="eastAsia" w:ascii="宋体" w:hAnsi="宋体"/>
                <w:b/>
                <w:bCs/>
                <w:sz w:val="21"/>
                <w:szCs w:val="21"/>
                <w:lang w:val="en-US" w:eastAsia="zh-CN"/>
              </w:rPr>
              <w:t>基本</w:t>
            </w:r>
            <w:r>
              <w:rPr>
                <w:rFonts w:hint="eastAsia" w:ascii="宋体" w:hAnsi="宋体"/>
                <w:b/>
                <w:bCs/>
                <w:sz w:val="21"/>
                <w:szCs w:val="21"/>
              </w:rPr>
              <w:t>情况。</w:t>
            </w:r>
          </w:p>
          <w:p>
            <w:pPr>
              <w:snapToGrid w:val="0"/>
              <w:spacing w:before="60" w:after="60"/>
              <w:jc w:val="left"/>
              <w:rPr>
                <w:rFonts w:hint="eastAsia" w:ascii="宋体" w:hAnsi="宋体"/>
                <w:sz w:val="21"/>
                <w:szCs w:val="21"/>
              </w:rPr>
            </w:pPr>
            <w:r>
              <w:rPr>
                <w:rFonts w:hint="eastAsia" w:ascii="宋体" w:hAnsi="宋体"/>
                <w:sz w:val="21"/>
                <w:szCs w:val="21"/>
              </w:rPr>
              <w:t>有效资质</w:t>
            </w:r>
            <w:r>
              <w:rPr>
                <w:rFonts w:hint="eastAsia" w:ascii="宋体" w:hAnsi="宋体"/>
                <w:color w:val="000000"/>
                <w:sz w:val="21"/>
                <w:szCs w:val="21"/>
              </w:rPr>
              <w:t>/证明</w:t>
            </w:r>
            <w:r>
              <w:rPr>
                <w:rFonts w:hint="eastAsia" w:ascii="宋体" w:hAnsi="宋体"/>
                <w:sz w:val="21"/>
                <w:szCs w:val="21"/>
              </w:rPr>
              <w:t>的</w:t>
            </w:r>
            <w:r>
              <w:rPr>
                <w:rFonts w:hint="eastAsia" w:ascii="宋体" w:hAnsi="宋体"/>
                <w:sz w:val="21"/>
                <w:szCs w:val="21"/>
                <w:lang w:val="en-US" w:eastAsia="zh-CN"/>
              </w:rPr>
              <w:t>审核</w:t>
            </w:r>
            <w:r>
              <w:rPr>
                <w:rFonts w:hint="eastAsia" w:ascii="宋体" w:hAnsi="宋体"/>
                <w:sz w:val="21"/>
                <w:szCs w:val="21"/>
              </w:rPr>
              <w:t>，包括</w:t>
            </w:r>
          </w:p>
          <w:p>
            <w:pPr>
              <w:snapToGrid w:val="0"/>
              <w:spacing w:before="60" w:after="60"/>
              <w:jc w:val="left"/>
              <w:rPr>
                <w:rFonts w:hint="eastAsia" w:ascii="宋体" w:hAnsi="宋体"/>
                <w:sz w:val="21"/>
                <w:szCs w:val="21"/>
              </w:rPr>
            </w:pPr>
            <w:r>
              <w:rPr>
                <w:rFonts w:hint="eastAsia" w:ascii="宋体" w:hAnsi="宋体"/>
                <w:sz w:val="21"/>
                <w:szCs w:val="21"/>
              </w:rPr>
              <w:t>产品/服务执行标准为，</w:t>
            </w:r>
            <w:r>
              <w:rPr>
                <w:rFonts w:hint="eastAsia" w:ascii="宋体" w:hAnsi="宋体"/>
                <w:sz w:val="21"/>
                <w:szCs w:val="21"/>
                <w:lang w:val="en-US" w:eastAsia="zh-CN"/>
              </w:rPr>
              <w:t>施工过程基本管理</w:t>
            </w:r>
            <w:r>
              <w:rPr>
                <w:rFonts w:hint="eastAsia" w:ascii="宋体" w:hAnsi="宋体"/>
                <w:sz w:val="21"/>
                <w:szCs w:val="21"/>
              </w:rPr>
              <w:t>情况</w:t>
            </w:r>
          </w:p>
          <w:p>
            <w:pPr>
              <w:snapToGrid w:val="0"/>
              <w:spacing w:before="60" w:after="60"/>
              <w:jc w:val="left"/>
              <w:rPr>
                <w:rFonts w:ascii="宋体" w:hAnsi="宋体"/>
                <w:sz w:val="21"/>
                <w:szCs w:val="21"/>
              </w:rPr>
            </w:pPr>
            <w:r>
              <w:rPr>
                <w:rFonts w:hint="eastAsia" w:ascii="宋体" w:hAnsi="宋体"/>
                <w:sz w:val="21"/>
                <w:szCs w:val="21"/>
              </w:rPr>
              <w:t>管理体系的方针、目标/指标/措施方案及实现情况</w:t>
            </w:r>
          </w:p>
          <w:p>
            <w:pPr>
              <w:snapToGrid w:val="0"/>
              <w:spacing w:before="60" w:after="60"/>
              <w:jc w:val="left"/>
              <w:rPr>
                <w:rFonts w:hint="eastAsia" w:ascii="宋体" w:hAnsi="宋体"/>
                <w:sz w:val="21"/>
                <w:szCs w:val="21"/>
              </w:rPr>
            </w:pPr>
            <w:r>
              <w:rPr>
                <w:rFonts w:hint="eastAsia" w:ascii="宋体" w:hAnsi="宋体"/>
                <w:sz w:val="21"/>
                <w:szCs w:val="21"/>
              </w:rPr>
              <w:t>目标、指标、措施方案：</w:t>
            </w:r>
          </w:p>
          <w:p>
            <w:pPr>
              <w:snapToGrid w:val="0"/>
              <w:spacing w:before="60" w:after="60"/>
              <w:jc w:val="left"/>
              <w:rPr>
                <w:rFonts w:hint="eastAsia" w:ascii="宋体" w:hAnsi="宋体"/>
                <w:sz w:val="21"/>
                <w:szCs w:val="21"/>
              </w:rPr>
            </w:pPr>
            <w:r>
              <w:rPr>
                <w:rFonts w:hint="eastAsia" w:ascii="宋体" w:hAnsi="宋体"/>
                <w:b/>
                <w:sz w:val="21"/>
                <w:szCs w:val="21"/>
              </w:rPr>
              <w:t>一阶段现场审核现场观察</w:t>
            </w:r>
          </w:p>
          <w:p>
            <w:pPr>
              <w:snapToGrid w:val="0"/>
              <w:spacing w:before="60" w:after="60"/>
              <w:jc w:val="left"/>
              <w:rPr>
                <w:b/>
                <w:sz w:val="20"/>
              </w:rPr>
            </w:pPr>
            <w:r>
              <w:rPr>
                <w:rFonts w:hint="eastAsia" w:ascii="宋体" w:hAnsi="宋体"/>
                <w:sz w:val="21"/>
                <w:szCs w:val="21"/>
              </w:rPr>
              <w:t>组织</w:t>
            </w:r>
            <w:r>
              <w:rPr>
                <w:rFonts w:hint="eastAsia" w:ascii="宋体" w:hAnsi="宋体"/>
                <w:sz w:val="21"/>
                <w:szCs w:val="21"/>
                <w:lang w:val="en-US" w:eastAsia="zh-CN"/>
              </w:rPr>
              <w:t>是否</w:t>
            </w:r>
            <w:r>
              <w:rPr>
                <w:rFonts w:hint="eastAsia" w:ascii="宋体" w:hAnsi="宋体"/>
                <w:sz w:val="21"/>
                <w:szCs w:val="21"/>
              </w:rPr>
              <w:t>存在多场所（含临时多场所）</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0" w:type="dxa"/>
            <w:vMerge w:val="continue"/>
            <w:tcBorders>
              <w:left w:val="single" w:color="auto" w:sz="8" w:space="0"/>
            </w:tcBorders>
            <w:vAlign w:val="center"/>
          </w:tcPr>
          <w:p>
            <w:pPr>
              <w:snapToGrid w:val="0"/>
              <w:spacing w:line="280" w:lineRule="exact"/>
              <w:jc w:val="left"/>
              <w:rPr>
                <w:b/>
                <w:sz w:val="20"/>
              </w:rPr>
            </w:pPr>
          </w:p>
        </w:tc>
        <w:tc>
          <w:tcPr>
            <w:tcW w:w="1416" w:type="dxa"/>
            <w:vAlign w:val="center"/>
          </w:tcPr>
          <w:p>
            <w:pPr>
              <w:snapToGrid w:val="0"/>
              <w:spacing w:line="280" w:lineRule="exact"/>
              <w:jc w:val="left"/>
              <w:rPr>
                <w:b/>
                <w:sz w:val="20"/>
              </w:rPr>
            </w:pPr>
            <w:r>
              <w:rPr>
                <w:rFonts w:hint="eastAsia"/>
                <w:b/>
                <w:sz w:val="20"/>
                <w:lang w:val="en-US" w:eastAsia="zh-CN"/>
              </w:rPr>
              <w:t>12</w:t>
            </w:r>
            <w:r>
              <w:rPr>
                <w:rFonts w:hint="eastAsia"/>
                <w:b/>
                <w:sz w:val="20"/>
              </w:rPr>
              <w:t>：</w:t>
            </w:r>
            <w:r>
              <w:rPr>
                <w:rFonts w:hint="eastAsia"/>
                <w:b/>
                <w:sz w:val="20"/>
                <w:lang w:val="en-US" w:eastAsia="zh-CN"/>
              </w:rPr>
              <w:t>3</w:t>
            </w:r>
            <w:r>
              <w:rPr>
                <w:b/>
                <w:sz w:val="20"/>
              </w:rPr>
              <w:t>0~1</w:t>
            </w:r>
            <w:r>
              <w:rPr>
                <w:rFonts w:hint="eastAsia"/>
                <w:b/>
                <w:sz w:val="20"/>
                <w:lang w:val="en-US" w:eastAsia="zh-CN"/>
              </w:rPr>
              <w:t>4</w:t>
            </w:r>
            <w:r>
              <w:rPr>
                <w:b/>
                <w:sz w:val="20"/>
              </w:rPr>
              <w:t>：</w:t>
            </w:r>
            <w:r>
              <w:rPr>
                <w:rFonts w:hint="eastAsia"/>
                <w:b/>
                <w:sz w:val="20"/>
                <w:lang w:val="en-US" w:eastAsia="zh-CN"/>
              </w:rPr>
              <w:t>3</w:t>
            </w:r>
            <w:r>
              <w:rPr>
                <w:b/>
                <w:sz w:val="20"/>
              </w:rPr>
              <w:t>0</w:t>
            </w:r>
          </w:p>
        </w:tc>
        <w:tc>
          <w:tcPr>
            <w:tcW w:w="6665" w:type="dxa"/>
            <w:vAlign w:val="center"/>
          </w:tcPr>
          <w:p>
            <w:pPr>
              <w:snapToGrid w:val="0"/>
              <w:spacing w:before="60" w:after="60"/>
              <w:jc w:val="left"/>
              <w:rPr>
                <w:rFonts w:hint="eastAsia" w:ascii="宋体" w:hAnsi="宋体"/>
                <w:sz w:val="21"/>
                <w:szCs w:val="21"/>
              </w:rPr>
            </w:pPr>
            <w:r>
              <w:rPr>
                <w:b/>
                <w:sz w:val="20"/>
              </w:rPr>
              <w:t>工程部</w:t>
            </w:r>
            <w:r>
              <w:rPr>
                <w:rFonts w:hint="eastAsia"/>
                <w:b/>
                <w:sz w:val="20"/>
                <w:lang w:val="en-US" w:eastAsia="zh-CN"/>
              </w:rPr>
              <w:t xml:space="preserve">/项目部 </w:t>
            </w:r>
            <w:r>
              <w:rPr>
                <w:b/>
                <w:sz w:val="20"/>
              </w:rPr>
              <w:t>负责人员访谈：了解</w:t>
            </w:r>
            <w:r>
              <w:rPr>
                <w:rFonts w:ascii="宋体" w:hAnsi="宋体"/>
                <w:sz w:val="21"/>
                <w:szCs w:val="21"/>
              </w:rPr>
              <w:t>在建项目实施进度</w:t>
            </w:r>
            <w:r>
              <w:rPr>
                <w:rFonts w:hint="eastAsia" w:ascii="宋体" w:hAnsi="宋体"/>
                <w:sz w:val="21"/>
                <w:szCs w:val="21"/>
                <w:lang w:val="en-US" w:eastAsia="zh-CN"/>
              </w:rPr>
              <w:t>情况</w:t>
            </w:r>
            <w:r>
              <w:rPr>
                <w:rFonts w:ascii="宋体" w:hAnsi="宋体"/>
                <w:sz w:val="21"/>
                <w:szCs w:val="21"/>
              </w:rPr>
              <w:t>；</w:t>
            </w:r>
            <w:r>
              <w:rPr>
                <w:rFonts w:hint="eastAsia" w:ascii="宋体" w:hAnsi="宋体"/>
                <w:sz w:val="21"/>
                <w:szCs w:val="21"/>
              </w:rPr>
              <w:t>组织辨识的关键过程、外包过程及管控情况，察看施工方案</w:t>
            </w:r>
            <w:r>
              <w:rPr>
                <w:rFonts w:hint="eastAsia" w:ascii="宋体" w:hAnsi="宋体"/>
                <w:sz w:val="21"/>
                <w:szCs w:val="21"/>
                <w:lang w:val="en-US" w:eastAsia="zh-CN"/>
              </w:rPr>
              <w:t>等文件</w:t>
            </w:r>
            <w:r>
              <w:rPr>
                <w:rFonts w:hint="eastAsia" w:ascii="宋体" w:hAnsi="宋体"/>
                <w:sz w:val="21"/>
                <w:szCs w:val="21"/>
              </w:rPr>
              <w:t>的编制、审批记录</w:t>
            </w:r>
          </w:p>
          <w:p>
            <w:pPr>
              <w:snapToGrid w:val="0"/>
              <w:spacing w:line="280" w:lineRule="exact"/>
              <w:jc w:val="left"/>
              <w:rPr>
                <w:rFonts w:hint="eastAsia" w:ascii="宋体" w:hAnsi="宋体" w:eastAsia="宋体"/>
                <w:sz w:val="21"/>
                <w:szCs w:val="21"/>
                <w:lang w:eastAsia="zh-CN"/>
              </w:rPr>
            </w:pPr>
            <w:r>
              <w:rPr>
                <w:rFonts w:ascii="宋体" w:hAnsi="宋体"/>
                <w:sz w:val="21"/>
                <w:szCs w:val="21"/>
              </w:rPr>
              <w:t>在建项目</w:t>
            </w:r>
            <w:r>
              <w:rPr>
                <w:rFonts w:hint="eastAsia" w:ascii="宋体" w:hAnsi="宋体"/>
                <w:sz w:val="21"/>
                <w:szCs w:val="21"/>
                <w:lang w:val="en-US" w:eastAsia="zh-CN"/>
              </w:rPr>
              <w:t>现场查看及</w:t>
            </w:r>
            <w:r>
              <w:rPr>
                <w:rFonts w:ascii="宋体" w:hAnsi="宋体"/>
                <w:sz w:val="21"/>
                <w:szCs w:val="21"/>
              </w:rPr>
              <w:t>环境因素</w:t>
            </w:r>
            <w:r>
              <w:rPr>
                <w:rFonts w:hint="eastAsia" w:ascii="宋体" w:hAnsi="宋体"/>
                <w:sz w:val="21"/>
                <w:szCs w:val="21"/>
                <w:lang w:val="en-US" w:eastAsia="zh-CN"/>
              </w:rPr>
              <w:t>/危险源</w:t>
            </w:r>
            <w:r>
              <w:rPr>
                <w:rFonts w:ascii="宋体" w:hAnsi="宋体"/>
                <w:sz w:val="21"/>
                <w:szCs w:val="21"/>
              </w:rPr>
              <w:t>识别评价情况；施工机具</w:t>
            </w:r>
            <w:r>
              <w:rPr>
                <w:rFonts w:hint="eastAsia" w:ascii="宋体" w:hAnsi="宋体"/>
                <w:sz w:val="21"/>
                <w:szCs w:val="21"/>
                <w:lang w:val="en-US" w:eastAsia="zh-CN"/>
              </w:rPr>
              <w:t>管理</w:t>
            </w:r>
            <w:r>
              <w:rPr>
                <w:rFonts w:ascii="宋体" w:hAnsi="宋体"/>
                <w:sz w:val="21"/>
                <w:szCs w:val="21"/>
              </w:rPr>
              <w:t>及人员资质情况</w:t>
            </w:r>
            <w:r>
              <w:rPr>
                <w:rFonts w:hint="eastAsia" w:ascii="宋体" w:hAnsi="宋体"/>
                <w:sz w:val="21"/>
                <w:szCs w:val="21"/>
                <w:lang w:eastAsia="zh-CN"/>
              </w:rPr>
              <w:t>；</w:t>
            </w:r>
          </w:p>
          <w:p>
            <w:pPr>
              <w:snapToGrid w:val="0"/>
              <w:spacing w:before="60" w:after="60"/>
              <w:jc w:val="left"/>
              <w:rPr>
                <w:rFonts w:hint="default"/>
                <w:b/>
                <w:sz w:val="20"/>
                <w:lang w:val="en-US"/>
              </w:rPr>
            </w:pPr>
            <w:r>
              <w:rPr>
                <w:b/>
                <w:sz w:val="20"/>
              </w:rPr>
              <w:t>项目部</w:t>
            </w:r>
            <w:r>
              <w:rPr>
                <w:rFonts w:hint="eastAsia"/>
                <w:b/>
                <w:sz w:val="20"/>
                <w:lang w:val="en-US" w:eastAsia="zh-CN"/>
              </w:rPr>
              <w:t>工程实施情况</w:t>
            </w:r>
            <w:r>
              <w:rPr>
                <w:b/>
                <w:sz w:val="20"/>
              </w:rPr>
              <w:t>、图纸会审、施工交底及施工</w:t>
            </w:r>
            <w:r>
              <w:rPr>
                <w:rFonts w:hint="eastAsia"/>
                <w:b/>
                <w:sz w:val="20"/>
                <w:lang w:val="en-US" w:eastAsia="zh-CN"/>
              </w:rPr>
              <w:t>管理等</w:t>
            </w:r>
          </w:p>
        </w:tc>
        <w:tc>
          <w:tcPr>
            <w:tcW w:w="1196" w:type="dxa"/>
            <w:vMerge w:val="restart"/>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0" w:type="dxa"/>
            <w:vMerge w:val="continue"/>
            <w:tcBorders>
              <w:left w:val="single" w:color="auto" w:sz="8" w:space="0"/>
            </w:tcBorders>
            <w:vAlign w:val="center"/>
          </w:tcPr>
          <w:p>
            <w:pPr>
              <w:snapToGrid w:val="0"/>
              <w:spacing w:line="280" w:lineRule="exact"/>
              <w:jc w:val="left"/>
              <w:rPr>
                <w:b/>
                <w:sz w:val="20"/>
              </w:rPr>
            </w:pPr>
          </w:p>
        </w:tc>
        <w:tc>
          <w:tcPr>
            <w:tcW w:w="1416" w:type="dxa"/>
            <w:vAlign w:val="center"/>
          </w:tcPr>
          <w:p>
            <w:pPr>
              <w:snapToGrid w:val="0"/>
              <w:spacing w:line="280" w:lineRule="exact"/>
              <w:jc w:val="left"/>
              <w:rPr>
                <w:b/>
                <w:sz w:val="20"/>
              </w:rPr>
            </w:pPr>
            <w:r>
              <w:rPr>
                <w:rFonts w:hint="eastAsia"/>
                <w:b/>
                <w:sz w:val="20"/>
              </w:rPr>
              <w:t>1</w:t>
            </w:r>
            <w:r>
              <w:rPr>
                <w:rFonts w:hint="eastAsia"/>
                <w:b/>
                <w:sz w:val="20"/>
                <w:lang w:val="en-US" w:eastAsia="zh-CN"/>
              </w:rPr>
              <w:t>4</w:t>
            </w:r>
            <w:r>
              <w:rPr>
                <w:b/>
                <w:sz w:val="20"/>
              </w:rPr>
              <w:t>：</w:t>
            </w:r>
            <w:r>
              <w:rPr>
                <w:rFonts w:hint="eastAsia"/>
                <w:b/>
                <w:sz w:val="20"/>
                <w:lang w:val="en-US" w:eastAsia="zh-CN"/>
              </w:rPr>
              <w:t>3</w:t>
            </w:r>
            <w:r>
              <w:rPr>
                <w:b/>
                <w:sz w:val="20"/>
              </w:rPr>
              <w:t>0~16：</w:t>
            </w:r>
            <w:r>
              <w:rPr>
                <w:rFonts w:hint="eastAsia"/>
                <w:b/>
                <w:sz w:val="20"/>
              </w:rPr>
              <w:t>0</w:t>
            </w:r>
            <w:r>
              <w:rPr>
                <w:b/>
                <w:sz w:val="20"/>
              </w:rPr>
              <w:t>0</w:t>
            </w:r>
          </w:p>
        </w:tc>
        <w:tc>
          <w:tcPr>
            <w:tcW w:w="6665" w:type="dxa"/>
            <w:vAlign w:val="center"/>
          </w:tcPr>
          <w:p>
            <w:pPr>
              <w:snapToGrid w:val="0"/>
              <w:spacing w:line="280" w:lineRule="exact"/>
              <w:jc w:val="left"/>
              <w:rPr>
                <w:b/>
                <w:sz w:val="20"/>
              </w:rPr>
            </w:pPr>
            <w:r>
              <w:rPr>
                <w:rFonts w:hint="eastAsia"/>
                <w:b/>
                <w:sz w:val="20"/>
                <w:lang w:val="en-US" w:eastAsia="zh-CN"/>
              </w:rPr>
              <w:t>工程部、项目</w:t>
            </w:r>
            <w:r>
              <w:rPr>
                <w:b/>
                <w:sz w:val="20"/>
              </w:rPr>
              <w:t>部访谈：</w:t>
            </w:r>
          </w:p>
          <w:p>
            <w:pPr>
              <w:snapToGrid w:val="0"/>
              <w:spacing w:line="280" w:lineRule="exact"/>
              <w:jc w:val="left"/>
              <w:rPr>
                <w:rFonts w:hint="eastAsia"/>
                <w:b/>
                <w:sz w:val="20"/>
              </w:rPr>
            </w:pPr>
            <w:r>
              <w:rPr>
                <w:b/>
                <w:sz w:val="20"/>
              </w:rPr>
              <w:t>察看原材料检验、分项、分部检验及单位工程验收记录是否齐全</w:t>
            </w:r>
          </w:p>
          <w:p>
            <w:pPr>
              <w:snapToGrid w:val="0"/>
              <w:spacing w:line="280" w:lineRule="exact"/>
              <w:jc w:val="left"/>
              <w:rPr>
                <w:b/>
                <w:sz w:val="20"/>
              </w:rPr>
            </w:pPr>
            <w:r>
              <w:rPr>
                <w:rFonts w:hint="eastAsia"/>
                <w:b/>
                <w:sz w:val="20"/>
              </w:rPr>
              <w:t>检测器具校验情况</w:t>
            </w:r>
            <w:r>
              <w:rPr>
                <w:rFonts w:hint="eastAsia"/>
                <w:b/>
                <w:sz w:val="20"/>
                <w:lang w:val="en-US" w:eastAsia="zh-CN"/>
              </w:rPr>
              <w:t xml:space="preserve">  </w:t>
            </w:r>
            <w:r>
              <w:rPr>
                <w:rFonts w:ascii="宋体" w:hAnsi="宋体"/>
                <w:sz w:val="21"/>
                <w:szCs w:val="21"/>
              </w:rPr>
              <w:t>竣工项目验收</w:t>
            </w:r>
            <w:r>
              <w:rPr>
                <w:rFonts w:hint="eastAsia" w:ascii="宋体" w:hAnsi="宋体"/>
                <w:sz w:val="21"/>
                <w:szCs w:val="21"/>
                <w:lang w:val="en-US" w:eastAsia="zh-CN"/>
              </w:rPr>
              <w:t>资料的完整性及相关证实提供等</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00" w:type="dxa"/>
            <w:tcBorders>
              <w:left w:val="single" w:color="auto" w:sz="8" w:space="0"/>
            </w:tcBorders>
            <w:vAlign w:val="center"/>
          </w:tcPr>
          <w:p>
            <w:pPr>
              <w:snapToGrid w:val="0"/>
              <w:spacing w:line="280" w:lineRule="exact"/>
              <w:jc w:val="left"/>
              <w:rPr>
                <w:b/>
                <w:sz w:val="20"/>
              </w:rPr>
            </w:pPr>
          </w:p>
        </w:tc>
        <w:tc>
          <w:tcPr>
            <w:tcW w:w="1416" w:type="dxa"/>
            <w:vAlign w:val="center"/>
          </w:tcPr>
          <w:p>
            <w:pPr>
              <w:snapToGrid w:val="0"/>
              <w:spacing w:line="320" w:lineRule="exact"/>
              <w:jc w:val="center"/>
              <w:rPr>
                <w:rFonts w:hint="eastAsia"/>
                <w:b/>
                <w:sz w:val="20"/>
              </w:rPr>
            </w:pPr>
            <w:r>
              <w:rPr>
                <w:rFonts w:hint="eastAsia" w:ascii="宋体" w:hAnsi="宋体"/>
                <w:b/>
                <w:bCs/>
                <w:sz w:val="21"/>
                <w:szCs w:val="21"/>
                <w:highlight w:val="none"/>
                <w:lang w:val="en-US" w:eastAsia="zh-CN"/>
              </w:rPr>
              <w:t>16</w:t>
            </w:r>
            <w:r>
              <w:rPr>
                <w:rFonts w:hint="eastAsia" w:ascii="宋体" w:hAnsi="宋体"/>
                <w:b/>
                <w:bCs/>
                <w:sz w:val="21"/>
                <w:szCs w:val="21"/>
                <w:highlight w:val="none"/>
              </w:rPr>
              <w:t>:</w:t>
            </w:r>
            <w:r>
              <w:rPr>
                <w:rFonts w:hint="eastAsia" w:ascii="宋体" w:hAnsi="宋体"/>
                <w:b/>
                <w:bCs/>
                <w:sz w:val="21"/>
                <w:szCs w:val="21"/>
                <w:highlight w:val="none"/>
                <w:lang w:val="en-US" w:eastAsia="zh-CN"/>
              </w:rPr>
              <w:t>0</w:t>
            </w:r>
            <w:r>
              <w:rPr>
                <w:rFonts w:ascii="宋体" w:hAnsi="宋体"/>
                <w:b/>
                <w:bCs/>
                <w:sz w:val="21"/>
                <w:szCs w:val="21"/>
                <w:highlight w:val="none"/>
              </w:rPr>
              <w:t>0</w:t>
            </w:r>
            <w:r>
              <w:rPr>
                <w:rFonts w:hint="eastAsia" w:ascii="宋体" w:hAnsi="宋体"/>
                <w:b/>
                <w:bCs/>
                <w:sz w:val="21"/>
                <w:szCs w:val="21"/>
                <w:highlight w:val="none"/>
              </w:rPr>
              <w:t>-</w:t>
            </w:r>
            <w:r>
              <w:rPr>
                <w:rFonts w:ascii="宋体" w:hAnsi="宋体"/>
                <w:b/>
                <w:bCs/>
                <w:sz w:val="21"/>
                <w:szCs w:val="21"/>
                <w:highlight w:val="none"/>
              </w:rPr>
              <w:t>1</w:t>
            </w:r>
            <w:r>
              <w:rPr>
                <w:rFonts w:hint="eastAsia" w:ascii="宋体" w:hAnsi="宋体"/>
                <w:b/>
                <w:bCs/>
                <w:sz w:val="21"/>
                <w:szCs w:val="21"/>
                <w:highlight w:val="none"/>
                <w:lang w:val="en-US" w:eastAsia="zh-CN"/>
              </w:rPr>
              <w:t>7:0</w:t>
            </w:r>
            <w:r>
              <w:rPr>
                <w:rFonts w:ascii="宋体" w:hAnsi="宋体"/>
                <w:b/>
                <w:bCs/>
                <w:sz w:val="21"/>
                <w:szCs w:val="21"/>
                <w:highlight w:val="none"/>
              </w:rPr>
              <w:t>0</w:t>
            </w:r>
          </w:p>
        </w:tc>
        <w:tc>
          <w:tcPr>
            <w:tcW w:w="6665" w:type="dxa"/>
            <w:vAlign w:val="top"/>
          </w:tcPr>
          <w:p>
            <w:pPr>
              <w:spacing w:line="300" w:lineRule="exact"/>
              <w:rPr>
                <w:rFonts w:hint="eastAsia"/>
                <w:b/>
                <w:sz w:val="20"/>
              </w:rPr>
            </w:pPr>
            <w:r>
              <w:rPr>
                <w:rFonts w:hint="eastAsia" w:ascii="宋体" w:hAnsi="宋体"/>
                <w:b/>
                <w:bCs/>
                <w:sz w:val="21"/>
                <w:szCs w:val="21"/>
                <w:highlight w:val="none"/>
              </w:rPr>
              <w:t>补充审核</w:t>
            </w:r>
            <w:r>
              <w:rPr>
                <w:rFonts w:hint="eastAsia" w:ascii="宋体" w:hAnsi="宋体"/>
                <w:b/>
                <w:bCs/>
                <w:sz w:val="21"/>
                <w:szCs w:val="21"/>
                <w:highlight w:val="none"/>
                <w:lang w:eastAsia="zh-CN"/>
              </w:rPr>
              <w:t>，</w:t>
            </w:r>
            <w:r>
              <w:rPr>
                <w:rFonts w:hint="eastAsia" w:ascii="宋体" w:hAnsi="宋体"/>
                <w:b/>
                <w:bCs/>
                <w:sz w:val="21"/>
                <w:szCs w:val="21"/>
                <w:highlight w:val="none"/>
              </w:rPr>
              <w:t>审核组内沟通</w:t>
            </w:r>
            <w:r>
              <w:rPr>
                <w:rFonts w:hint="eastAsia" w:ascii="宋体" w:hAnsi="宋体"/>
                <w:b/>
                <w:bCs/>
                <w:sz w:val="21"/>
                <w:szCs w:val="21"/>
                <w:highlight w:val="none"/>
                <w:lang w:eastAsia="zh-CN"/>
              </w:rPr>
              <w:t>；</w:t>
            </w:r>
            <w:r>
              <w:rPr>
                <w:rFonts w:hint="eastAsia" w:ascii="宋体" w:hAnsi="宋体"/>
                <w:b/>
                <w:bCs/>
                <w:sz w:val="21"/>
                <w:szCs w:val="21"/>
                <w:highlight w:val="none"/>
              </w:rPr>
              <w:t>与受审核方领导</w:t>
            </w:r>
            <w:r>
              <w:rPr>
                <w:rFonts w:hint="eastAsia" w:ascii="宋体" w:hAnsi="宋体"/>
                <w:b/>
                <w:bCs/>
                <w:sz w:val="21"/>
                <w:szCs w:val="21"/>
                <w:highlight w:val="none"/>
                <w:lang w:val="en-US" w:eastAsia="zh-CN"/>
              </w:rPr>
              <w:t>沟通 ；</w:t>
            </w:r>
            <w:r>
              <w:rPr>
                <w:rFonts w:hint="eastAsia" w:ascii="宋体" w:hAnsi="宋体"/>
                <w:b/>
                <w:bCs/>
                <w:sz w:val="21"/>
                <w:szCs w:val="21"/>
                <w:highlight w:val="none"/>
              </w:rPr>
              <w:t>末次会</w:t>
            </w:r>
          </w:p>
        </w:tc>
        <w:tc>
          <w:tcPr>
            <w:tcW w:w="1196" w:type="dxa"/>
            <w:tcBorders>
              <w:right w:val="single" w:color="auto" w:sz="8" w:space="0"/>
            </w:tcBorders>
            <w:vAlign w:val="top"/>
          </w:tcPr>
          <w:p>
            <w:pPr>
              <w:spacing w:line="300" w:lineRule="exact"/>
              <w:rPr>
                <w:b/>
                <w:sz w:val="20"/>
              </w:rPr>
            </w:pPr>
            <w:r>
              <w:rPr>
                <w:rFonts w:hint="eastAsia"/>
                <w:b/>
                <w:sz w:val="20"/>
              </w:rPr>
              <w:t>A</w:t>
            </w:r>
            <w:r>
              <w:rPr>
                <w:rFonts w:hint="eastAsia"/>
                <w:b/>
                <w:sz w:val="20"/>
                <w:lang w:val="en-US" w:eastAsia="zh-CN"/>
              </w:rPr>
              <w:t>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ED7E75"/>
    <w:rsid w:val="144A4F7A"/>
    <w:rsid w:val="14552090"/>
    <w:rsid w:val="5D187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李凤仪</cp:lastModifiedBy>
  <cp:lastPrinted>2019-03-27T03:10:00Z</cp:lastPrinted>
  <dcterms:modified xsi:type="dcterms:W3CDTF">2021-07-05T06:14:48Z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E82DB84EF64E40C988E3C1AD1D66164B</vt:lpwstr>
  </property>
</Properties>
</file>