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■QMS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bookmarkStart w:id="2" w:name="组织名称"/>
            <w:r>
              <w:rPr>
                <w:rFonts w:hint="default"/>
                <w:b/>
                <w:sz w:val="20"/>
                <w:szCs w:val="22"/>
              </w:rPr>
              <w:t>广西建邕工程有限公司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bookmarkStart w:id="3" w:name="专业代码"/>
            <w:r>
              <w:rPr>
                <w:rFonts w:hint="default"/>
                <w:b/>
                <w:sz w:val="20"/>
                <w:szCs w:val="22"/>
              </w:rPr>
              <w:t>EC：28.04.01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E：28.04.01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O：28.04.01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EC：28.04.01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52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E：28.04.01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default"/>
                <w:b/>
                <w:sz w:val="20"/>
                <w:szCs w:val="22"/>
              </w:rPr>
              <w:t>O：28.04.01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生产工艺/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市政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b/>
                <w:sz w:val="20"/>
                <w:szCs w:val="22"/>
              </w:rPr>
              <w:t>工程流程：签订合同—组建项目部—编制施工组织设计—组织施工—过程检验—分部分项验收—竣工验收—交付及交付后的活动。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生产过程/服务过程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的风险及控制措施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特殊过程</w:t>
            </w:r>
            <w:r>
              <w:rPr>
                <w:rFonts w:hint="default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隐蔽工程、焊接过程</w:t>
            </w:r>
            <w:r>
              <w:rPr>
                <w:rFonts w:hint="eastAsia"/>
                <w:b/>
                <w:sz w:val="20"/>
                <w:szCs w:val="22"/>
              </w:rPr>
              <w:t>制定作业指导书及专项施工方案等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  <w:szCs w:val="22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固废排放、粉尘排放、噪声排放、污水排放、火灾、植被破坏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>项；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评价确定了重要环境因素和不可接受风险并进行了重点控制，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不可接受风险有：坍塌、高处坠落、起重伤害、物体打击、机械伤害、触电、中暑、火灾爆炸、交通事故、暴雨伤害等项，制定了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相</w:t>
            </w:r>
            <w:r>
              <w:rPr>
                <w:rFonts w:hint="eastAsia"/>
                <w:b/>
                <w:sz w:val="20"/>
                <w:szCs w:val="22"/>
              </w:rPr>
              <w:t>应的管理方案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b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、中华人民共和国产品质量法2000/9/1 、2、中华人民共和国合同法1999/10/1、3、中华人民共和国消费者权益保护法2014/3/15、4、中华人民共和国标准化法2017/11/4、5、中华人民共和国计量法2017/12/27、6、中华人民共和国环境保护法2015/1/1、7、中华人民共和国水污染防治法2018/1/1、8、中华人民共和国环境噪声污染防治法1997/3/1、9、中华人民共和国固体废物污染环境防治法 2016/11/7….、GB 50300-2001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ab/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《建筑工程施工质量验收统一标准》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施工执行：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GB 50202-2018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《河道整治设计规范》（GB50707-2011）；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《城市防洪设计规范》（GB/T50805-2012）；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《室外排水设计规范》（GB50014-2006）(2016版)；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《室外给水设计规范》（GB50013-2006）；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《疏浚与吹填工程技术规范》（SL17-2014）；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《地下防水工程质量验收规范》（GB50208-2011）；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《钢筋焊接及验收规程》（JGJ18-2012）；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《防腐蚀工程施工操作规程》（YSJ411-89）；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《地基与基础工程施工操作规程》（YSJ402-89）；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《疏浚与吹填工程质量检验标准》(JTJ324-2006)；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《预制混凝土构件质量检验评定标准》（GBJ321-90）；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《建筑工程施工质量验收统一标准》 (GB50300-2013)；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 xml:space="preserve">《混凝土结构工程施工质量验收规范》 (GB50204-2015)；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《砌体工程施工质量验收规范》 (GB50203-2011)；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《建筑地基基础施工质量验收规范》(GB50202-2002)；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《建筑桩基技术规范》（JGJ94-2008）；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《给水排水管道工程施工及验收规范》(GB50268-2008)；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《水利水电工程施工组织设计规范》（SL303-2004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第三方检查，出具检测报告及分部分项验收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竣工验收</w:t>
            </w:r>
            <w:r>
              <w:rPr>
                <w:rFonts w:hint="eastAsia"/>
                <w:b/>
                <w:sz w:val="20"/>
                <w:szCs w:val="22"/>
              </w:rPr>
              <w:t>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szCs w:val="22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spacing w:line="300" w:lineRule="exact"/>
              <w:ind w:firstLine="480"/>
              <w:rPr>
                <w:rFonts w:hint="eastAsia" w:hAnsi="宋体" w:cs="楷体_GB2312"/>
                <w:sz w:val="21"/>
                <w:szCs w:val="21"/>
              </w:rPr>
            </w:pPr>
            <w:bookmarkStart w:id="4" w:name="_GoBack"/>
            <w:r>
              <w:rPr>
                <w:rFonts w:hint="eastAsia" w:hAnsi="宋体" w:cs="楷体_GB2312"/>
                <w:sz w:val="21"/>
                <w:szCs w:val="21"/>
              </w:rPr>
              <w:t>1、工程项目内容是否在企业资质范围内；</w:t>
            </w:r>
          </w:p>
          <w:p>
            <w:pPr>
              <w:pStyle w:val="4"/>
              <w:spacing w:line="300" w:lineRule="exact"/>
              <w:ind w:firstLine="48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2、建设工程项目开工须获取建设单位提供的开工许可；</w:t>
            </w:r>
          </w:p>
          <w:p>
            <w:pPr>
              <w:pStyle w:val="4"/>
              <w:spacing w:line="300" w:lineRule="exact"/>
              <w:ind w:firstLine="420" w:firstLineChars="200"/>
              <w:rPr>
                <w:rFonts w:hint="eastAsia" w:hAnsi="宋体" w:cs="楷体_GB2312"/>
                <w:sz w:val="21"/>
                <w:szCs w:val="21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3、工程使用的材料、设备需进场验收并记录；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sz w:val="20"/>
                <w:szCs w:val="22"/>
              </w:rPr>
            </w:pPr>
            <w:r>
              <w:rPr>
                <w:rFonts w:hint="eastAsia" w:hAnsi="宋体" w:cs="楷体_GB2312"/>
                <w:sz w:val="21"/>
                <w:szCs w:val="21"/>
              </w:rPr>
              <w:t>4、</w:t>
            </w:r>
            <w:r>
              <w:rPr>
                <w:rFonts w:hint="eastAsia" w:hAnsi="宋体" w:cs="楷体_GB2312"/>
                <w:sz w:val="21"/>
                <w:szCs w:val="21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</w:t>
            </w:r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b w:val="0"/>
          <w:bCs w:val="0"/>
          <w:sz w:val="20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64770</wp:posOffset>
            </wp:positionV>
            <wp:extent cx="617855" cy="410845"/>
            <wp:effectExtent l="0" t="0" r="10795" b="8255"/>
            <wp:wrapNone/>
            <wp:docPr id="5" name="图片 10" descr="b469afa572757c580ba24d384ba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b469afa572757c580ba24d384ba9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78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 w:val="0"/>
          <w:bCs w:val="0"/>
          <w:sz w:val="20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34925</wp:posOffset>
            </wp:positionV>
            <wp:extent cx="617855" cy="410845"/>
            <wp:effectExtent l="0" t="0" r="10795" b="8255"/>
            <wp:wrapNone/>
            <wp:docPr id="6" name="图片 10" descr="b469afa572757c580ba24d384ba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b469afa572757c580ba24d384ba9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78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9204960</wp:posOffset>
            </wp:positionV>
            <wp:extent cx="551815" cy="293370"/>
            <wp:effectExtent l="0" t="0" r="635" b="11430"/>
            <wp:wrapNone/>
            <wp:docPr id="2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2021年7月5日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9204960</wp:posOffset>
            </wp:positionV>
            <wp:extent cx="551815" cy="293370"/>
            <wp:effectExtent l="0" t="0" r="635" b="11430"/>
            <wp:wrapNone/>
            <wp:docPr id="3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DA68"/>
    <w:multiLevelType w:val="multilevel"/>
    <w:tmpl w:val="AAAFDA68"/>
    <w:lvl w:ilvl="0" w:tentative="0">
      <w:start w:val="1"/>
      <w:numFmt w:val="decimal"/>
      <w:lvlText w:val="第%1章 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 "/>
      <w:lvlJc w:val="left"/>
      <w:pPr>
        <w:tabs>
          <w:tab w:val="left" w:pos="420"/>
        </w:tabs>
        <w:ind w:left="425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425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suff w:val="nothing"/>
      <w:lvlText w:val="%1.%2.%3.%4.%5"/>
      <w:lvlJc w:val="left"/>
      <w:pPr>
        <w:tabs>
          <w:tab w:val="left" w:pos="420"/>
        </w:tabs>
        <w:ind w:left="0" w:firstLine="425"/>
      </w:pPr>
      <w:rPr>
        <w:rFonts w:hint="default" w:ascii="宋体" w:hAnsi="宋体" w:eastAsia="宋体" w:cs="宋体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25"/>
      </w:pPr>
      <w:rPr>
        <w:rFonts w:hint="eastAsia" w:ascii="宋体" w:hAnsi="宋体" w:eastAsia="宋体" w:cs="宋体"/>
      </w:rPr>
    </w:lvl>
    <w:lvl w:ilvl="6" w:tentative="0">
      <w:start w:val="1"/>
      <w:numFmt w:val="decimal"/>
      <w:suff w:val="nothing"/>
      <w:lvlText w:val="%7）"/>
      <w:lvlJc w:val="left"/>
      <w:pPr>
        <w:ind w:left="0" w:firstLine="425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ED03016"/>
    <w:rsid w:val="39312488"/>
    <w:rsid w:val="3BA2117D"/>
    <w:rsid w:val="4C875502"/>
    <w:rsid w:val="581E3CC0"/>
    <w:rsid w:val="74123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adjustRightInd w:val="0"/>
      <w:spacing w:after="300"/>
      <w:ind w:firstLine="0" w:firstLineChars="0"/>
      <w:jc w:val="left"/>
      <w:outlineLvl w:val="1"/>
    </w:pPr>
    <w:rPr>
      <w:color w:val="00B05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/>
    </w:pPr>
  </w:style>
  <w:style w:type="paragraph" w:styleId="4">
    <w:name w:val="Plain Text"/>
    <w:basedOn w:val="1"/>
    <w:uiPriority w:val="0"/>
    <w:rPr>
      <w:rFonts w:ascii="宋体" w:hAnsi="Courier New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2021-07-07T15:18:32Z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A1FA4B4CDA0E47D2B4EF11B91D5958CA</vt:lpwstr>
  </property>
</Properties>
</file>