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right"/>
        <w:rPr>
          <w:rFonts w:hint="eastAsia" w:ascii="宋体" w:hAnsi="宋体"/>
          <w:sz w:val="18"/>
        </w:rPr>
      </w:pPr>
      <w:bookmarkStart w:id="0" w:name="合同编号"/>
      <w:r>
        <w:rPr>
          <w:rFonts w:hint="eastAsia"/>
          <w:sz w:val="20"/>
          <w:lang w:eastAsia="zh-CN"/>
        </w:rPr>
        <w:t>编号：</w:t>
      </w:r>
      <w:bookmarkEnd w:id="0"/>
      <w:r>
        <w:rPr>
          <w:szCs w:val="44"/>
        </w:rPr>
        <w:t>0691-2021-Q</w:t>
      </w:r>
    </w:p>
    <w:p>
      <w:pPr>
        <w:snapToGrid w:val="0"/>
        <w:spacing w:after="94" w:afterLines="30"/>
        <w:jc w:val="right"/>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both"/>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重庆可奇机械制造有限公司</w:t>
      </w:r>
      <w:bookmarkEnd w:id="1"/>
    </w:p>
    <w:p>
      <w:pPr>
        <w:snapToGrid w:val="0"/>
        <w:spacing w:after="94" w:afterLines="3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2"/>
          <w:rFonts w:hint="eastAsia" w:ascii="楷体" w:hAnsi="楷体" w:eastAsia="楷体"/>
          <w:b/>
          <w:sz w:val="36"/>
          <w:szCs w:val="36"/>
        </w:rPr>
        <w:t>www.china-isc.org.cn</w:t>
      </w:r>
      <w:r>
        <w:fldChar w:fldCharType="end"/>
      </w:r>
    </w:p>
    <w:p>
      <w:pPr>
        <w:pStyle w:val="2"/>
      </w:pPr>
    </w:p>
    <w:p>
      <w:pPr>
        <w:pStyle w:val="2"/>
      </w:pPr>
    </w:p>
    <w:p>
      <w:pPr>
        <w:pStyle w:val="2"/>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9"/>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3"/>
        <w:numPr>
          <w:ilvl w:val="0"/>
          <w:numId w:val="0"/>
        </w:numPr>
        <w:rPr>
          <w:rFonts w:ascii="宋体" w:hAnsi="宋体"/>
          <w:b/>
          <w:color w:val="000000" w:themeColor="text1"/>
          <w:sz w:val="26"/>
          <w:szCs w:val="26"/>
        </w:rPr>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eastAsia="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3"/>
        <w:numPr>
          <w:ilvl w:val="0"/>
          <w:numId w:val="1"/>
        </w:numPr>
        <w:ind w:left="-142" w:hanging="709" w:firstLineChars="0"/>
        <w:rPr>
          <w:rFonts w:ascii="宋体" w:hAnsi="宋体"/>
          <w:b/>
          <w:color w:val="000000" w:themeColor="text1"/>
          <w:spacing w:val="-10"/>
          <w:sz w:val="20"/>
          <w:szCs w:val="20"/>
        </w:rPr>
      </w:pPr>
      <w:r>
        <w:rPr>
          <w:rFonts w:hint="eastAsia" w:ascii="宋体" w:hAnsi="宋体"/>
          <w:b/>
          <w:color w:val="000000" w:themeColor="text1"/>
          <w:sz w:val="26"/>
          <w:szCs w:val="26"/>
        </w:rPr>
        <w:t>审核准则</w:t>
      </w:r>
      <w:bookmarkStart w:id="5" w:name="审核依据"/>
      <w:r>
        <w:rPr>
          <w:rFonts w:hint="eastAsia" w:ascii="宋体" w:hAnsi="宋体"/>
          <w:b/>
          <w:color w:val="000000" w:themeColor="text1"/>
          <w:sz w:val="26"/>
          <w:szCs w:val="26"/>
          <w:lang w:eastAsia="zh-CN"/>
        </w:rPr>
        <w:t>：</w:t>
      </w:r>
      <w:r>
        <w:rPr>
          <w:rFonts w:hint="eastAsia" w:ascii="宋体" w:hAnsi="宋体"/>
          <w:b/>
          <w:color w:val="000000" w:themeColor="text1"/>
          <w:spacing w:val="-10"/>
          <w:sz w:val="20"/>
          <w:szCs w:val="20"/>
        </w:rPr>
        <w:t>GB/T19001-2016/ISO9001:2015</w:t>
      </w:r>
      <w:bookmarkEnd w:id="5"/>
    </w:p>
    <w:p>
      <w:pPr>
        <w:pStyle w:val="13"/>
        <w:numPr>
          <w:ilvl w:val="0"/>
          <w:numId w:val="0"/>
        </w:numPr>
        <w:ind w:left="-851" w:leftChars="0"/>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重庆可奇机械制造有限公司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25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重庆市大渡口区八桥镇互助村七社</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重庆市江津区双福工业园绿城路8号</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陈强</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18723195508</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熊兴勇</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陈强</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汽车方向机的加工</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22.03.02</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2020-12-20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auto"/>
                <w:sz w:val="20"/>
                <w:szCs w:val="20"/>
                <w:lang w:val="en-US" w:eastAsia="zh-CN"/>
              </w:rPr>
            </w:pPr>
            <w:r>
              <w:rPr>
                <w:rFonts w:hint="eastAsia" w:ascii="宋体" w:hAnsi="宋体" w:cs="Times New Roman"/>
                <w:b/>
                <w:color w:val="auto"/>
                <w:sz w:val="20"/>
                <w:szCs w:val="20"/>
                <w:lang w:val="en-US" w:eastAsia="zh-CN"/>
              </w:rPr>
              <w:t>行政部</w:t>
            </w:r>
          </w:p>
        </w:tc>
        <w:tc>
          <w:tcPr>
            <w:tcW w:w="6804" w:type="dxa"/>
            <w:vAlign w:val="top"/>
          </w:tcPr>
          <w:p>
            <w:pPr>
              <w:jc w:val="left"/>
              <w:rPr>
                <w:rFonts w:hint="eastAsia" w:ascii="宋体" w:hAnsi="宋体" w:eastAsia="宋体" w:cs="Times New Roman"/>
                <w:b/>
                <w:color w:val="auto"/>
                <w:spacing w:val="-20"/>
                <w:kern w:val="2"/>
                <w:sz w:val="20"/>
                <w:szCs w:val="20"/>
                <w:u w:val="single"/>
                <w:lang w:val="en-US" w:eastAsia="zh-CN" w:bidi="ar-SA"/>
              </w:rPr>
            </w:pPr>
            <w:r>
              <w:rPr>
                <w:rFonts w:hint="eastAsia" w:ascii="宋体" w:hAnsi="宋体"/>
                <w:b/>
                <w:color w:val="auto"/>
                <w:sz w:val="20"/>
                <w:szCs w:val="20"/>
              </w:rPr>
              <w:t>方针、目标管理；文件、记录控制程；管理评审；内审管理；人员、部门职能职责和权限；风险识别评价管理</w:t>
            </w:r>
            <w:r>
              <w:rPr>
                <w:rFonts w:hint="eastAsia" w:ascii="宋体" w:hAnsi="宋体"/>
                <w:b/>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119" w:type="dxa"/>
            <w:vAlign w:val="top"/>
          </w:tcPr>
          <w:p>
            <w:pPr>
              <w:jc w:val="center"/>
              <w:rPr>
                <w:rFonts w:hint="eastAsia" w:ascii="宋体" w:hAnsi="宋体" w:cs="Times New Roman"/>
                <w:b/>
                <w:color w:val="auto"/>
                <w:sz w:val="20"/>
                <w:szCs w:val="20"/>
                <w:lang w:val="en-US" w:eastAsia="zh-CN"/>
              </w:rPr>
            </w:pPr>
            <w:r>
              <w:rPr>
                <w:rFonts w:hint="eastAsia" w:ascii="宋体" w:hAnsi="宋体" w:cs="Times New Roman"/>
                <w:b/>
                <w:color w:val="auto"/>
                <w:sz w:val="20"/>
                <w:szCs w:val="20"/>
                <w:lang w:val="en-US" w:eastAsia="zh-CN"/>
              </w:rPr>
              <w:t>生产</w:t>
            </w:r>
            <w:r>
              <w:rPr>
                <w:rFonts w:hint="eastAsia" w:ascii="宋体" w:hAnsi="宋体" w:eastAsia="宋体" w:cs="Times New Roman"/>
                <w:b/>
                <w:color w:val="auto"/>
                <w:sz w:val="20"/>
                <w:szCs w:val="20"/>
                <w:lang w:val="en-US" w:eastAsia="zh-CN"/>
              </w:rPr>
              <w:t>部</w:t>
            </w:r>
            <w:r>
              <w:rPr>
                <w:rFonts w:hint="eastAsia" w:ascii="宋体" w:hAnsi="宋体" w:cs="Times New Roman"/>
                <w:b/>
                <w:color w:val="auto"/>
                <w:sz w:val="20"/>
                <w:szCs w:val="20"/>
                <w:lang w:val="en-US" w:eastAsia="zh-CN"/>
              </w:rPr>
              <w:t>、质检部</w:t>
            </w:r>
          </w:p>
          <w:p>
            <w:pPr>
              <w:jc w:val="center"/>
              <w:rPr>
                <w:rFonts w:hint="eastAsia" w:ascii="宋体" w:hAnsi="宋体" w:eastAsia="宋体" w:cs="Times New Roman"/>
                <w:b/>
                <w:color w:val="auto"/>
                <w:sz w:val="20"/>
                <w:szCs w:val="20"/>
                <w:lang w:val="en-US" w:eastAsia="zh-CN"/>
              </w:rPr>
            </w:pPr>
          </w:p>
        </w:tc>
        <w:tc>
          <w:tcPr>
            <w:tcW w:w="6804" w:type="dxa"/>
            <w:vAlign w:val="top"/>
          </w:tcPr>
          <w:p>
            <w:pPr>
              <w:jc w:val="left"/>
              <w:rPr>
                <w:rFonts w:hint="eastAsia" w:ascii="宋体" w:hAnsi="宋体" w:eastAsia="宋体"/>
                <w:b/>
                <w:color w:val="auto"/>
                <w:spacing w:val="-20"/>
                <w:sz w:val="20"/>
                <w:szCs w:val="20"/>
                <w:u w:val="single"/>
                <w:lang w:eastAsia="zh-CN"/>
              </w:rPr>
            </w:pPr>
            <w:r>
              <w:rPr>
                <w:rFonts w:hint="eastAsia" w:ascii="宋体" w:hAnsi="宋体"/>
                <w:b/>
                <w:color w:val="auto"/>
                <w:sz w:val="20"/>
                <w:szCs w:val="20"/>
              </w:rPr>
              <w:t>不合格品控制；纠正和预防措施控制；策划管理；服务过程管理；设备设施管理</w:t>
            </w:r>
            <w:r>
              <w:rPr>
                <w:rFonts w:hint="eastAsia" w:ascii="宋体" w:hAnsi="宋体"/>
                <w:b/>
                <w:color w:val="auto"/>
                <w:sz w:val="20"/>
                <w:szCs w:val="20"/>
                <w:lang w:eastAsia="zh-CN"/>
              </w:rPr>
              <w:t>；</w:t>
            </w:r>
            <w:r>
              <w:rPr>
                <w:rFonts w:hint="eastAsia" w:ascii="宋体" w:hAnsi="宋体"/>
                <w:b/>
                <w:color w:val="auto"/>
                <w:sz w:val="20"/>
                <w:szCs w:val="20"/>
              </w:rPr>
              <w:t>不合格品控制；过程监控管理；监视和测量设备管理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119" w:type="dxa"/>
            <w:vAlign w:val="top"/>
          </w:tcPr>
          <w:p>
            <w:pPr>
              <w:jc w:val="center"/>
              <w:rPr>
                <w:rFonts w:hint="eastAsia" w:ascii="宋体" w:hAnsi="宋体" w:eastAsia="宋体" w:cs="Times New Roman"/>
                <w:b/>
                <w:color w:val="auto"/>
                <w:kern w:val="2"/>
                <w:sz w:val="20"/>
                <w:szCs w:val="20"/>
                <w:lang w:val="en-US" w:eastAsia="zh-CN" w:bidi="ar-SA"/>
              </w:rPr>
            </w:pPr>
            <w:r>
              <w:rPr>
                <w:rFonts w:hint="eastAsia" w:ascii="宋体" w:hAnsi="宋体" w:cs="Times New Roman"/>
                <w:b/>
                <w:color w:val="auto"/>
                <w:sz w:val="20"/>
                <w:szCs w:val="20"/>
                <w:lang w:val="en-US" w:eastAsia="zh-CN"/>
              </w:rPr>
              <w:t>供销</w:t>
            </w:r>
            <w:r>
              <w:rPr>
                <w:rFonts w:hint="eastAsia" w:ascii="宋体" w:hAnsi="宋体" w:eastAsia="宋体" w:cs="Times New Roman"/>
                <w:b/>
                <w:color w:val="auto"/>
                <w:sz w:val="20"/>
                <w:szCs w:val="20"/>
                <w:lang w:val="en-US" w:eastAsia="zh-CN"/>
              </w:rPr>
              <w:t>部</w:t>
            </w:r>
          </w:p>
        </w:tc>
        <w:tc>
          <w:tcPr>
            <w:tcW w:w="6804" w:type="dxa"/>
            <w:vAlign w:val="top"/>
          </w:tcPr>
          <w:p>
            <w:pPr>
              <w:jc w:val="left"/>
              <w:rPr>
                <w:rFonts w:hint="default" w:ascii="宋体" w:hAnsi="宋体" w:eastAsia="宋体" w:cs="Times New Roman"/>
                <w:b/>
                <w:color w:val="auto"/>
                <w:kern w:val="2"/>
                <w:sz w:val="20"/>
                <w:szCs w:val="20"/>
                <w:lang w:val="en-US" w:eastAsia="zh-CN" w:bidi="ar-SA"/>
              </w:rPr>
            </w:pPr>
            <w:r>
              <w:rPr>
                <w:rFonts w:hint="eastAsia" w:ascii="宋体" w:hAnsi="宋体"/>
                <w:b/>
                <w:color w:val="auto"/>
                <w:sz w:val="20"/>
                <w:szCs w:val="20"/>
              </w:rPr>
              <w:t>合同管理</w:t>
            </w:r>
            <w:r>
              <w:rPr>
                <w:rFonts w:hint="eastAsia" w:ascii="宋体" w:hAnsi="宋体"/>
                <w:b/>
                <w:color w:val="auto"/>
                <w:sz w:val="20"/>
                <w:szCs w:val="20"/>
                <w:lang w:eastAsia="zh-CN"/>
              </w:rPr>
              <w:t>、</w:t>
            </w:r>
            <w:r>
              <w:rPr>
                <w:rFonts w:hint="eastAsia" w:ascii="宋体" w:hAnsi="宋体"/>
                <w:b/>
                <w:color w:val="auto"/>
                <w:sz w:val="20"/>
                <w:szCs w:val="20"/>
                <w:lang w:val="en-US" w:eastAsia="zh-CN"/>
              </w:rPr>
              <w:t>顾客满意度、</w:t>
            </w:r>
            <w:r>
              <w:rPr>
                <w:rFonts w:hint="eastAsia" w:ascii="宋体" w:hAnsi="宋体"/>
                <w:b/>
                <w:color w:val="auto"/>
                <w:sz w:val="20"/>
                <w:szCs w:val="20"/>
              </w:rPr>
              <w:t>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cs="Times New Roman"/>
                <w:b/>
                <w:color w:val="000000" w:themeColor="text1"/>
                <w:sz w:val="20"/>
                <w:szCs w:val="20"/>
                <w:lang w:val="en-US" w:eastAsia="zh-CN"/>
              </w:rPr>
            </w:pPr>
          </w:p>
        </w:tc>
        <w:tc>
          <w:tcPr>
            <w:tcW w:w="6804" w:type="dxa"/>
          </w:tcPr>
          <w:p>
            <w:pPr>
              <w:jc w:val="left"/>
              <w:rPr>
                <w:rFonts w:hint="default" w:ascii="宋体" w:hAnsi="宋体" w:eastAsia="宋体"/>
                <w:b/>
                <w:color w:val="FF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cs="Times New Roman"/>
                <w:b/>
                <w:color w:val="000000" w:themeColor="text1"/>
                <w:sz w:val="20"/>
                <w:szCs w:val="20"/>
                <w:lang w:val="en-US" w:eastAsia="zh-CN"/>
              </w:rPr>
            </w:pPr>
          </w:p>
        </w:tc>
        <w:tc>
          <w:tcPr>
            <w:tcW w:w="6804" w:type="dxa"/>
          </w:tcPr>
          <w:p>
            <w:pPr>
              <w:jc w:val="left"/>
              <w:rPr>
                <w:rFonts w:ascii="宋体" w:hAnsi="宋体"/>
                <w:b/>
                <w:color w:val="FF0000"/>
                <w:spacing w:val="-20"/>
                <w:szCs w:val="21"/>
                <w:u w:val="single"/>
              </w:rPr>
            </w:pP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10"/>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219"/>
        <w:gridCol w:w="800"/>
        <w:gridCol w:w="5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2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800" w:type="dxa"/>
          </w:tcPr>
          <w:p>
            <w:pPr>
              <w:rPr>
                <w:b/>
                <w:color w:val="000000" w:themeColor="text1"/>
                <w:sz w:val="20"/>
                <w:szCs w:val="20"/>
              </w:rPr>
            </w:pPr>
            <w:r>
              <w:rPr>
                <w:rFonts w:hint="eastAsia"/>
                <w:b/>
                <w:color w:val="000000" w:themeColor="text1"/>
                <w:sz w:val="20"/>
                <w:szCs w:val="20"/>
              </w:rPr>
              <w:t>规格</w:t>
            </w:r>
          </w:p>
        </w:tc>
        <w:tc>
          <w:tcPr>
            <w:tcW w:w="5886"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2130" w:type="dxa"/>
          </w:tcPr>
          <w:p>
            <w:pPr>
              <w:rPr>
                <w:b/>
                <w:color w:val="000000" w:themeColor="text1"/>
                <w:sz w:val="20"/>
                <w:szCs w:val="20"/>
              </w:rPr>
            </w:pPr>
            <w:r>
              <w:rPr>
                <w:rFonts w:hint="eastAsia" w:ascii="宋体" w:hAnsi="宋体"/>
                <w:szCs w:val="21"/>
              </w:rPr>
              <w:t>汽车方向机的加工</w:t>
            </w:r>
          </w:p>
        </w:tc>
        <w:tc>
          <w:tcPr>
            <w:tcW w:w="1219" w:type="dxa"/>
          </w:tcPr>
          <w:p>
            <w:pPr>
              <w:rPr>
                <w:b/>
                <w:color w:val="000000" w:themeColor="text1"/>
                <w:sz w:val="20"/>
                <w:szCs w:val="20"/>
              </w:rPr>
            </w:pPr>
          </w:p>
        </w:tc>
        <w:tc>
          <w:tcPr>
            <w:tcW w:w="800" w:type="dxa"/>
          </w:tcPr>
          <w:p>
            <w:pPr>
              <w:rPr>
                <w:rFonts w:hint="eastAsia" w:ascii="宋体" w:hAnsi="宋体" w:cs="Times New Roman"/>
                <w:szCs w:val="21"/>
              </w:rPr>
            </w:pPr>
          </w:p>
        </w:tc>
        <w:tc>
          <w:tcPr>
            <w:tcW w:w="5886" w:type="dxa"/>
          </w:tcPr>
          <w:p>
            <w:pPr>
              <w:rPr>
                <w:rFonts w:hint="eastAsia" w:ascii="宋体" w:hAnsi="宋体" w:cs="Times New Roman"/>
                <w:szCs w:val="21"/>
              </w:rPr>
            </w:pPr>
            <w:r>
              <w:rPr>
                <w:rFonts w:hint="eastAsia" w:ascii="宋体" w:hAnsi="宋体" w:cs="Times New Roman"/>
                <w:szCs w:val="21"/>
                <w:lang w:val="en-US" w:eastAsia="zh-CN"/>
              </w:rPr>
              <w:t>QC/T 29097-2014汽车转向器总成技术要求；QCT267-1999汽车切削加工零件未注公差尺寸的极限偏差；JB/T 9168.10-1998切削加工通用工艺守则数控加工；GB/T1804-2000一般公差 未注公差的线性和角度尺寸的公差等标准及客户技术要求</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ascii="Times New Roman" w:hAnsi="Times New Roman" w:cs="Times New Roman"/>
          <w:b/>
          <w:color w:val="000000" w:themeColor="text1"/>
          <w:spacing w:val="-10"/>
          <w:szCs w:val="21"/>
          <w:lang w:val="en-US" w:eastAsia="zh-CN"/>
        </w:rPr>
        <w:t>2020年12月20日至2021年07月06日。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Times New Roman" w:hAnsi="Times New Roman" w:cs="Times New Roman"/>
                <w:szCs w:val="21"/>
                <w:lang w:eastAsia="zh-CN"/>
              </w:rPr>
              <w:t>品质一流，满足客户需求，勇于创新、持续发展企业</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5.QMS过程</w:t>
            </w:r>
          </w:p>
          <w:p>
            <w:pPr>
              <w:spacing w:line="360" w:lineRule="auto"/>
              <w:ind w:firstLine="420" w:firstLineChars="200"/>
              <w:rPr>
                <w:rFonts w:hint="eastAsia" w:ascii="宋体" w:hAnsi="宋体" w:cs="Times New Roman"/>
              </w:rPr>
            </w:pPr>
            <w:r>
              <w:rPr>
                <w:rFonts w:hint="eastAsia" w:ascii="宋体" w:hAnsi="宋体" w:cs="Times New Roman"/>
              </w:rPr>
              <w:t>汽车方向机的加工工艺过程：</w:t>
            </w:r>
          </w:p>
          <w:p>
            <w:pPr>
              <w:spacing w:line="360" w:lineRule="auto"/>
              <w:ind w:firstLine="420" w:firstLineChars="200"/>
              <w:rPr>
                <w:rFonts w:hint="eastAsia" w:ascii="宋体" w:hAnsi="宋体" w:cs="Times New Roman"/>
                <w:color w:val="000000" w:themeColor="text1"/>
              </w:rPr>
            </w:pPr>
            <w:r>
              <w:rPr>
                <w:rFonts w:hint="eastAsia" w:ascii="宋体" w:hAnsi="宋体" w:cs="Times New Roman"/>
                <w:color w:val="000000" w:themeColor="text1"/>
              </w:rPr>
              <w:t>下料—机加过程（冷镦、车、钻、滚丝等）—镀锌（外包）—成品检验</w:t>
            </w:r>
          </w:p>
          <w:p>
            <w:pPr>
              <w:spacing w:line="360" w:lineRule="auto"/>
              <w:ind w:firstLine="420" w:firstLineChars="200"/>
              <w:rPr>
                <w:rFonts w:hint="eastAsia" w:ascii="宋体" w:hAnsi="宋体" w:eastAsia="宋体" w:cs="Times New Roman"/>
                <w:color w:val="000000" w:themeColor="text1"/>
                <w:lang w:eastAsia="zh-CN"/>
                <w14:textFill>
                  <w14:solidFill>
                    <w14:schemeClr w14:val="tx1"/>
                  </w14:solidFill>
                </w14:textFill>
              </w:rPr>
            </w:pPr>
            <w:r>
              <w:rPr>
                <w:rFonts w:hint="eastAsia" w:ascii="宋体" w:hAnsi="宋体" w:cs="Times New Roman"/>
                <w:color w:val="000000" w:themeColor="text1"/>
              </w:rPr>
              <w:t>关键过程：机</w:t>
            </w:r>
            <w:r>
              <w:rPr>
                <w:rFonts w:hint="eastAsia" w:ascii="宋体" w:hAnsi="宋体" w:cs="Times New Roman"/>
                <w:color w:val="000000" w:themeColor="text1"/>
                <w14:textFill>
                  <w14:solidFill>
                    <w14:schemeClr w14:val="tx1"/>
                  </w14:solidFill>
                </w14:textFill>
              </w:rPr>
              <w:t>加过程，特殊过程：镀锌（按外部供方控制程序管理）</w:t>
            </w:r>
          </w:p>
          <w:p>
            <w:pPr>
              <w:pStyle w:val="2"/>
              <w:ind w:firstLine="460" w:firstLineChars="20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外包过程:</w:t>
            </w:r>
            <w:r>
              <w:rPr>
                <w:rFonts w:hint="eastAsia" w:ascii="宋体" w:hAnsi="宋体" w:cs="Times New Roman"/>
                <w:color w:val="000000" w:themeColor="text1"/>
                <w14:textFill>
                  <w14:solidFill>
                    <w14:schemeClr w14:val="tx1"/>
                  </w14:solidFill>
                </w14:textFill>
              </w:rPr>
              <w:t>镀锌</w:t>
            </w:r>
          </w:p>
          <w:p>
            <w:pPr>
              <w:widowControl/>
              <w:spacing w:line="400" w:lineRule="exact"/>
              <w:rPr>
                <w:rFonts w:ascii="宋体" w:hAnsi="宋体"/>
              </w:rPr>
            </w:pPr>
            <w:r>
              <w:rPr>
                <w:rFonts w:hint="eastAsia"/>
              </w:rPr>
              <w:t>8.3不适用，公司按照客户</w:t>
            </w:r>
            <w:r>
              <w:rPr>
                <w:rFonts w:hint="eastAsia"/>
                <w:lang w:eastAsia="zh-CN"/>
              </w:rPr>
              <w:t>技术要求</w:t>
            </w:r>
            <w:r>
              <w:rPr>
                <w:rFonts w:hint="eastAsia" w:ascii="宋体" w:hAnsi="宋体"/>
                <w:szCs w:val="21"/>
                <w:lang w:eastAsia="zh-CN"/>
              </w:rPr>
              <w:t>及</w:t>
            </w:r>
            <w:r>
              <w:rPr>
                <w:rFonts w:hint="eastAsia" w:ascii="宋体" w:hAnsi="宋体"/>
                <w:szCs w:val="21"/>
              </w:rPr>
              <w:t>提供的图纸进行生产，不涉及产品的设计和开发</w:t>
            </w:r>
            <w:r>
              <w:rPr>
                <w:rFonts w:hint="eastAsia" w:ascii="宋体" w:hAnsi="宋体"/>
              </w:rPr>
              <w:t>。8.3条款的不适用不影响组织提供满足客户要求及法律法规要求的责任。</w:t>
            </w:r>
          </w:p>
          <w:p>
            <w:pPr>
              <w:spacing w:line="240" w:lineRule="exact"/>
              <w:rPr>
                <w:rFonts w:hint="eastAsia" w:ascii="宋体" w:hAnsi="宋体"/>
                <w:sz w:val="21"/>
                <w:szCs w:val="21"/>
                <w:lang w:eastAsia="zh-CN"/>
              </w:rPr>
            </w:pP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质量目标：</w:t>
            </w:r>
          </w:p>
          <w:p>
            <w:pPr>
              <w:spacing w:line="360" w:lineRule="auto"/>
              <w:ind w:firstLine="420" w:firstLineChars="200"/>
              <w:rPr>
                <w:rFonts w:hint="eastAsia" w:ascii="宋体" w:hAnsi="宋体" w:cs="Times New Roman"/>
              </w:rPr>
            </w:pPr>
            <w:r>
              <w:rPr>
                <w:rFonts w:hint="eastAsia" w:ascii="宋体" w:hAnsi="宋体" w:cs="Times New Roman"/>
                <w:lang w:val="en-US" w:eastAsia="zh-CN"/>
              </w:rPr>
              <w:t>a</w:t>
            </w:r>
            <w:r>
              <w:rPr>
                <w:rFonts w:hint="eastAsia" w:ascii="宋体" w:hAnsi="宋体" w:cs="Times New Roman"/>
                <w:lang w:eastAsia="zh-CN"/>
              </w:rPr>
              <w:t>、产品一次交验通过率：＞97%</w:t>
            </w:r>
            <w:r>
              <w:rPr>
                <w:rFonts w:hint="eastAsia" w:ascii="宋体" w:hAnsi="宋体" w:cs="Times New Roman"/>
              </w:rPr>
              <w:t>；</w:t>
            </w:r>
          </w:p>
          <w:p>
            <w:pPr>
              <w:spacing w:line="360" w:lineRule="auto"/>
              <w:ind w:firstLine="420" w:firstLineChars="200"/>
              <w:rPr>
                <w:rFonts w:ascii="宋体" w:hAnsi="宋体"/>
                <w:b/>
                <w:color w:val="000000" w:themeColor="text1"/>
              </w:rPr>
            </w:pPr>
            <w:r>
              <w:rPr>
                <w:rFonts w:hint="eastAsia" w:ascii="宋体" w:hAnsi="宋体" w:cs="Times New Roman"/>
                <w:lang w:eastAsia="zh-CN"/>
              </w:rPr>
              <w:t>b</w:t>
            </w:r>
            <w:r>
              <w:rPr>
                <w:rFonts w:hint="eastAsia" w:ascii="宋体" w:hAnsi="宋体" w:cs="Times New Roman"/>
              </w:rPr>
              <w:t>、</w:t>
            </w:r>
            <w:r>
              <w:rPr>
                <w:rFonts w:hint="eastAsia" w:ascii="宋体" w:hAnsi="宋体" w:cs="Times New Roman"/>
                <w:lang w:eastAsia="zh-CN"/>
              </w:rPr>
              <w:t>客户</w:t>
            </w:r>
            <w:r>
              <w:rPr>
                <w:rFonts w:hint="eastAsia" w:ascii="宋体" w:hAnsi="宋体" w:cs="Times New Roman"/>
              </w:rPr>
              <w:t>满意率95%以上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12</w:t>
            </w:r>
            <w:r>
              <w:rPr>
                <w:rFonts w:hint="eastAsia" w:ascii="宋体" w:hAnsi="宋体" w:cs="宋体"/>
                <w:color w:val="000000" w:themeColor="text1"/>
              </w:rPr>
              <w:t>月</w:t>
            </w:r>
            <w:r>
              <w:rPr>
                <w:rFonts w:hint="eastAsia" w:ascii="宋体" w:hAnsi="宋体" w:cs="宋体"/>
                <w:color w:val="000000" w:themeColor="text1"/>
                <w:lang w:val="en-US" w:eastAsia="zh-CN"/>
              </w:rPr>
              <w:t>20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人力资源的简要说明</w:t>
            </w:r>
            <w:r>
              <w:rPr>
                <w:rFonts w:hint="eastAsia"/>
                <w:b/>
                <w:color w:val="000000" w:themeColor="text1"/>
                <w:sz w:val="20"/>
                <w:szCs w:val="20"/>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w:t>
            </w:r>
          </w:p>
          <w:p>
            <w:pPr>
              <w:tabs>
                <w:tab w:val="left" w:pos="2552"/>
              </w:tabs>
              <w:spacing w:line="0" w:lineRule="atLeast"/>
              <w:ind w:firstLine="420" w:firstLineChars="200"/>
              <w:rPr>
                <w:rFonts w:ascii="宋体" w:hAnsi="宋体"/>
                <w:bCs/>
                <w:iCs/>
                <w:color w:val="000000" w:themeColor="text1"/>
                <w:szCs w:val="22"/>
                <w14:textFill>
                  <w14:solidFill>
                    <w14:schemeClr w14:val="tx1"/>
                  </w14:solidFill>
                </w14:textFill>
              </w:rPr>
            </w:pPr>
            <w:r>
              <w:rPr>
                <w:rFonts w:hint="eastAsia" w:ascii="宋体" w:hAnsi="宋体"/>
                <w:bCs/>
                <w:iCs/>
                <w:color w:val="000000" w:themeColor="text1"/>
                <w14:textFill>
                  <w14:solidFill>
                    <w14:schemeClr w14:val="tx1"/>
                  </w14:solidFill>
                </w14:textFill>
              </w:rPr>
              <w:t>组</w:t>
            </w:r>
            <w:r>
              <w:rPr>
                <w:rFonts w:hint="eastAsia" w:ascii="宋体" w:hAnsi="宋体"/>
                <w:bCs/>
                <w:iCs/>
                <w:color w:val="000000" w:themeColor="text1"/>
                <w:szCs w:val="22"/>
                <w14:textFill>
                  <w14:solidFill>
                    <w14:schemeClr w14:val="tx1"/>
                  </w14:solidFill>
                </w14:textFill>
              </w:rPr>
              <w:t>织按管理体系需求配置了充足的人员、设施、监视和测量设备等资源，并建立维持了</w:t>
            </w:r>
            <w:r>
              <w:rPr>
                <w:rFonts w:hint="eastAsia" w:ascii="宋体" w:hAnsi="宋体"/>
                <w:color w:val="000000" w:themeColor="text1"/>
                <w:szCs w:val="21"/>
                <w14:textFill>
                  <w14:solidFill>
                    <w14:schemeClr w14:val="tx1"/>
                  </w14:solidFill>
                </w14:textFill>
              </w:rPr>
              <w:t>产品的生产</w:t>
            </w:r>
            <w:r>
              <w:rPr>
                <w:rFonts w:hint="eastAsia" w:ascii="宋体" w:hAnsi="宋体"/>
                <w:bCs/>
                <w:iCs/>
                <w:color w:val="000000" w:themeColor="text1"/>
                <w:szCs w:val="22"/>
                <w14:textFill>
                  <w14:solidFill>
                    <w14:schemeClr w14:val="tx1"/>
                  </w14:solidFill>
                </w14:textFill>
              </w:rPr>
              <w:t>及相关服务运行环境，可以维持管理体系的正常运行。</w:t>
            </w:r>
          </w:p>
          <w:p>
            <w:pPr>
              <w:spacing w:line="300" w:lineRule="exact"/>
              <w:rPr>
                <w:rFonts w:ascii="宋体" w:hAnsi="宋体"/>
                <w:b/>
                <w:color w:val="000000" w:themeColor="text1"/>
                <w:sz w:val="20"/>
                <w:szCs w:val="20"/>
                <w14:textFill>
                  <w14:solidFill>
                    <w14:schemeClr w14:val="tx1"/>
                  </w14:solidFill>
                </w14:textFill>
              </w:rPr>
            </w:pPr>
            <w:r>
              <w:rPr>
                <w:rFonts w:hint="eastAsia" w:ascii="宋体" w:hAnsi="宋体"/>
                <w:bCs/>
                <w:iCs/>
                <w:color w:val="000000" w:themeColor="text1"/>
                <w14:textFill>
                  <w14:solidFill>
                    <w14:schemeClr w14:val="tx1"/>
                  </w14:solidFill>
                </w14:textFill>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设备设施（包括信息系统）、</w:t>
            </w:r>
          </w:p>
          <w:p>
            <w:pPr>
              <w:spacing w:line="400" w:lineRule="exact"/>
              <w:ind w:firstLine="420" w:firstLineChars="200"/>
              <w:rPr>
                <w:rFonts w:ascii="宋体" w:hAnsi="宋体"/>
                <w:b/>
                <w:color w:val="000000" w:themeColor="text1"/>
                <w:sz w:val="20"/>
                <w:szCs w:val="20"/>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组织为租赁的厂房及办公场地.主要生产设备包括：</w:t>
            </w:r>
            <w:r>
              <w:rPr>
                <w:rFonts w:hint="eastAsia" w:ascii="宋体" w:hAnsi="宋体"/>
                <w:color w:val="000000" w:themeColor="text1"/>
                <w14:textFill>
                  <w14:solidFill>
                    <w14:schemeClr w14:val="tx1"/>
                  </w14:solidFill>
                </w14:textFill>
              </w:rPr>
              <w:t>多工位冷墩机、数控车床、数控机床、数控钻床、全自动圆锯机、滚丝机等</w:t>
            </w:r>
            <w:r>
              <w:rPr>
                <w:rFonts w:hint="eastAsia" w:ascii="宋体" w:hAnsi="宋体"/>
                <w:color w:val="000000" w:themeColor="text1"/>
                <w:lang w:val="en-US" w:eastAsia="zh-CN"/>
                <w14:textFill>
                  <w14:solidFill>
                    <w14:schemeClr w14:val="tx1"/>
                  </w14:solidFill>
                </w14:textFill>
              </w:rPr>
              <w:t>，可以满足产品加工需要。对设备按月方式进行点检维护保养，并实施。特种设备：</w:t>
            </w:r>
            <w:r>
              <w:rPr>
                <w:rFonts w:hint="eastAsia" w:ascii="宋体" w:hAnsi="宋体"/>
                <w:color w:val="000000" w:themeColor="text1"/>
                <w:szCs w:val="22"/>
                <w14:textFill>
                  <w14:solidFill>
                    <w14:schemeClr w14:val="tx1"/>
                  </w14:solidFill>
                </w14:textFill>
              </w:rPr>
              <w:t>组织有</w:t>
            </w:r>
            <w:r>
              <w:rPr>
                <w:rFonts w:hint="eastAsia" w:ascii="宋体" w:hAnsi="宋体"/>
                <w:color w:val="000000" w:themeColor="text1"/>
                <w:szCs w:val="22"/>
                <w:lang w:val="en-US" w:eastAsia="zh-CN"/>
                <w14:textFill>
                  <w14:solidFill>
                    <w14:schemeClr w14:val="tx1"/>
                  </w14:solidFill>
                </w14:textFill>
              </w:rPr>
              <w:t>电动葫芦一台，3吨以下，</w:t>
            </w:r>
            <w:r>
              <w:rPr>
                <w:rFonts w:hint="eastAsia" w:ascii="宋体" w:hAnsi="宋体"/>
                <w:color w:val="000000" w:themeColor="text1"/>
                <w:szCs w:val="22"/>
                <w14:textFill>
                  <w14:solidFill>
                    <w14:schemeClr w14:val="tx1"/>
                  </w14:solidFill>
                </w14:textFill>
              </w:rPr>
              <w:t>出示有</w:t>
            </w:r>
            <w:r>
              <w:rPr>
                <w:rFonts w:hint="eastAsia" w:ascii="宋体" w:hAnsi="宋体"/>
                <w:color w:val="000000" w:themeColor="text1"/>
                <w:szCs w:val="22"/>
                <w:lang w:val="en-US" w:eastAsia="zh-CN"/>
                <w14:textFill>
                  <w14:solidFill>
                    <w14:schemeClr w14:val="tx1"/>
                  </w14:solidFill>
                </w14:textFill>
              </w:rPr>
              <w:t>合格证；有简单压力容器6个</w:t>
            </w:r>
            <w:r>
              <w:rPr>
                <w:rFonts w:hint="eastAsia" w:ascii="宋体" w:hAnsi="宋体"/>
                <w:color w:val="000000" w:themeColor="text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过程运行环境</w:t>
            </w:r>
          </w:p>
          <w:p>
            <w:pPr>
              <w:spacing w:line="240" w:lineRule="exact"/>
              <w:ind w:firstLine="420" w:firstLineChars="200"/>
              <w:rPr>
                <w:rFonts w:ascii="宋体" w:hAnsi="宋体"/>
                <w:b/>
                <w:color w:val="000000" w:themeColor="text1"/>
                <w:sz w:val="20"/>
                <w:szCs w:val="20"/>
                <w14:textFill>
                  <w14:solidFill>
                    <w14:schemeClr w14:val="tx1"/>
                  </w14:solidFill>
                </w14:textFill>
              </w:rPr>
            </w:pPr>
            <w:r>
              <w:rPr>
                <w:rFonts w:hint="eastAsia" w:ascii="宋体" w:hAnsi="宋体" w:cs="宋体"/>
                <w:color w:val="000000" w:themeColor="text1"/>
                <w:szCs w:val="21"/>
                <w14:textFill>
                  <w14:solidFill>
                    <w14:schemeClr w14:val="tx1"/>
                  </w14:solidFill>
                </w14:textFill>
              </w:rPr>
              <w:t>车间内设备布置合理，通道畅通，照明设施齐全，均配备了消防设施等设施。办公室明亮，作业场所光线较充足。每月由</w:t>
            </w:r>
            <w:r>
              <w:rPr>
                <w:rFonts w:hint="eastAsia" w:ascii="宋体" w:hAnsi="宋体" w:cs="宋体"/>
                <w:color w:val="000000" w:themeColor="text1"/>
                <w:szCs w:val="21"/>
                <w:lang w:eastAsia="zh-CN"/>
                <w14:textFill>
                  <w14:solidFill>
                    <w14:schemeClr w14:val="tx1"/>
                  </w14:solidFill>
                </w14:textFill>
              </w:rPr>
              <w:t>行政</w:t>
            </w:r>
            <w:r>
              <w:rPr>
                <w:rFonts w:hint="eastAsia" w:ascii="宋体" w:hAnsi="宋体" w:cs="宋体"/>
                <w:color w:val="000000" w:themeColor="text1"/>
                <w:szCs w:val="21"/>
                <w14:textFill>
                  <w14:solidFill>
                    <w14:schemeClr w14:val="tx1"/>
                  </w14:solidFill>
                </w14:textFill>
              </w:rPr>
              <w:t>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color w:val="000000" w:themeColor="text1"/>
                <w:sz w:val="21"/>
                <w:szCs w:val="21"/>
                <w:lang w:eastAsia="zh-CN"/>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监视和测量资源</w:t>
            </w:r>
          </w:p>
          <w:p>
            <w:pPr>
              <w:spacing w:line="240" w:lineRule="exact"/>
              <w:ind w:firstLine="420" w:firstLineChars="200"/>
              <w:rPr>
                <w:rFonts w:ascii="宋体" w:hAnsi="宋体"/>
                <w:b/>
                <w:color w:val="000000" w:themeColor="text1"/>
                <w:sz w:val="20"/>
                <w:szCs w:val="20"/>
                <w14:textFill>
                  <w14:solidFill>
                    <w14:schemeClr w14:val="tx1"/>
                  </w14:solidFill>
                </w14:textFill>
              </w:rPr>
            </w:pPr>
            <w:r>
              <w:rPr>
                <w:rFonts w:hint="eastAsia"/>
                <w:color w:val="000000" w:themeColor="text1"/>
                <w:szCs w:val="21"/>
                <w14:textFill>
                  <w14:solidFill>
                    <w14:schemeClr w14:val="tx1"/>
                  </w14:solidFill>
                </w14:textFill>
              </w:rPr>
              <w:t>主要检测设备有千分尺、数显深度尺、游标卡尺等，</w:t>
            </w:r>
            <w:r>
              <w:rPr>
                <w:rFonts w:hint="eastAsia" w:ascii="宋体" w:hAnsi="宋体"/>
                <w:color w:val="000000" w:themeColor="text1"/>
                <w:szCs w:val="21"/>
                <w14:textFill>
                  <w14:solidFill>
                    <w14:schemeClr w14:val="tx1"/>
                  </w14:solidFill>
                </w14:textFill>
              </w:rPr>
              <w:t>提供</w:t>
            </w:r>
            <w:r>
              <w:rPr>
                <w:rFonts w:hint="eastAsia" w:ascii="宋体" w:hAnsi="宋体"/>
                <w:color w:val="000000" w:themeColor="text1"/>
                <w:szCs w:val="21"/>
                <w:lang w:val="en-US" w:eastAsia="zh-CN"/>
                <w14:textFill>
                  <w14:solidFill>
                    <w14:schemeClr w14:val="tx1"/>
                  </w14:solidFill>
                </w14:textFill>
              </w:rPr>
              <w:t>有</w:t>
            </w:r>
            <w:r>
              <w:rPr>
                <w:rFonts w:hint="eastAsia" w:ascii="宋体" w:hAnsi="宋体"/>
                <w:color w:val="000000" w:themeColor="text1"/>
                <w:szCs w:val="21"/>
                <w14:textFill>
                  <w14:solidFill>
                    <w14:schemeClr w14:val="tx1"/>
                  </w14:solidFill>
                </w14:textFill>
              </w:rPr>
              <w:t>以上检具的</w:t>
            </w:r>
            <w:r>
              <w:rPr>
                <w:rFonts w:hint="eastAsia" w:ascii="宋体" w:hAnsi="宋体"/>
                <w:color w:val="000000" w:themeColor="text1"/>
                <w:szCs w:val="21"/>
                <w:lang w:val="en-US" w:eastAsia="zh-CN"/>
                <w14:textFill>
                  <w14:solidFill>
                    <w14:schemeClr w14:val="tx1"/>
                  </w14:solidFill>
                </w14:textFill>
              </w:rPr>
              <w:t>有效</w:t>
            </w:r>
            <w:r>
              <w:rPr>
                <w:rFonts w:hint="eastAsia" w:ascii="宋体" w:hAnsi="宋体"/>
                <w:color w:val="000000" w:themeColor="text1"/>
                <w:szCs w:val="21"/>
                <w14:textFill>
                  <w14:solidFill>
                    <w14:schemeClr w14:val="tx1"/>
                  </w14:solidFill>
                </w14:textFill>
              </w:rPr>
              <w:t>校准证书</w:t>
            </w:r>
            <w:r>
              <w:rPr>
                <w:rFonts w:hint="eastAsia"/>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olor w:val="FF0000"/>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w:t>
            </w:r>
            <w:r>
              <w:rPr>
                <w:rFonts w:hint="eastAsia" w:ascii="宋体" w:hAnsi="宋体" w:cs="宋体"/>
                <w:color w:val="000000" w:themeColor="text1"/>
                <w:szCs w:val="21"/>
              </w:rPr>
              <w:t>实施和改进活动正常有序展开（包括回访和顾客满意度调查），相关绩效表明：组织基本能有效控制管理其生产及服务过程，从审核过程看，公司的产品质量管理基本受控。</w:t>
            </w:r>
            <w:r>
              <w:rPr>
                <w:rFonts w:hint="eastAsia" w:ascii="宋体" w:hAnsi="宋体" w:cs="宋体"/>
                <w:color w:val="0000FF"/>
                <w:szCs w:val="21"/>
              </w:rPr>
              <w:t xml:space="preserve"> </w:t>
            </w:r>
            <w:r>
              <w:rPr>
                <w:rFonts w:hint="eastAsia" w:ascii="宋体" w:hAnsi="宋体" w:cs="Times New Roman"/>
                <w:color w:val="000000" w:themeColor="text1"/>
              </w:rPr>
              <w:t>关键过程：机加过程，特殊过程：镀锌（按外部供方控制程序管理）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10. 对特种设备的维护; （适用时）</w:t>
            </w:r>
          </w:p>
          <w:p>
            <w:pPr>
              <w:spacing w:line="240" w:lineRule="exact"/>
              <w:rPr>
                <w:rFonts w:hint="eastAsia" w:eastAsia="宋体"/>
                <w:b/>
                <w:color w:val="000000" w:themeColor="text1"/>
                <w:sz w:val="20"/>
                <w:szCs w:val="20"/>
                <w:lang w:eastAsia="zh-CN"/>
                <w14:textFill>
                  <w14:solidFill>
                    <w14:schemeClr w14:val="tx1"/>
                  </w14:solidFill>
                </w14:textFill>
              </w:rPr>
            </w:pPr>
            <w:r>
              <w:rPr>
                <w:rFonts w:hint="eastAsia" w:ascii="Times New Roman" w:hAnsi="Times New Roman" w:cs="Times New Roman"/>
                <w:b w:val="0"/>
                <w:bCs/>
                <w:color w:val="000000" w:themeColor="text1"/>
                <w:sz w:val="20"/>
                <w:szCs w:val="20"/>
                <w14:textFill>
                  <w14:solidFill>
                    <w14:schemeClr w14:val="tx1"/>
                  </w14:solidFill>
                </w14:textFill>
              </w:rPr>
              <w:t>特种设备</w:t>
            </w:r>
            <w:r>
              <w:rPr>
                <w:rFonts w:hint="eastAsia" w:ascii="Times New Roman" w:hAnsi="Times New Roman" w:cs="Times New Roman"/>
                <w:b w:val="0"/>
                <w:bCs/>
                <w:color w:val="000000" w:themeColor="text1"/>
                <w:sz w:val="20"/>
                <w:szCs w:val="20"/>
                <w:lang w:eastAsia="zh-CN"/>
                <w14:textFill>
                  <w14:solidFill>
                    <w14:schemeClr w14:val="tx1"/>
                  </w14:solidFill>
                </w14:textFill>
              </w:rPr>
              <w:t>：</w:t>
            </w:r>
            <w:r>
              <w:rPr>
                <w:rFonts w:hint="eastAsia" w:ascii="宋体" w:hAnsi="宋体"/>
                <w:color w:val="000000" w:themeColor="text1"/>
                <w:szCs w:val="22"/>
                <w14:textFill>
                  <w14:solidFill>
                    <w14:schemeClr w14:val="tx1"/>
                  </w14:solidFill>
                </w14:textFill>
              </w:rPr>
              <w:t>组织有</w:t>
            </w:r>
            <w:r>
              <w:rPr>
                <w:rFonts w:hint="eastAsia" w:ascii="宋体" w:hAnsi="宋体"/>
                <w:color w:val="000000" w:themeColor="text1"/>
                <w:szCs w:val="22"/>
                <w:lang w:val="en-US" w:eastAsia="zh-CN"/>
                <w14:textFill>
                  <w14:solidFill>
                    <w14:schemeClr w14:val="tx1"/>
                  </w14:solidFill>
                </w14:textFill>
              </w:rPr>
              <w:t>电动葫芦一台，3吨以下，</w:t>
            </w:r>
            <w:r>
              <w:rPr>
                <w:rFonts w:hint="eastAsia" w:ascii="宋体" w:hAnsi="宋体"/>
                <w:color w:val="000000" w:themeColor="text1"/>
                <w:szCs w:val="22"/>
                <w14:textFill>
                  <w14:solidFill>
                    <w14:schemeClr w14:val="tx1"/>
                  </w14:solidFill>
                </w14:textFill>
              </w:rPr>
              <w:t>出示有</w:t>
            </w:r>
            <w:r>
              <w:rPr>
                <w:rFonts w:hint="eastAsia" w:ascii="宋体" w:hAnsi="宋体"/>
                <w:color w:val="000000" w:themeColor="text1"/>
                <w:szCs w:val="22"/>
                <w:lang w:val="en-US" w:eastAsia="zh-CN"/>
                <w14:textFill>
                  <w14:solidFill>
                    <w14:schemeClr w14:val="tx1"/>
                  </w14:solidFill>
                </w14:textFill>
              </w:rPr>
              <w:t>合格证；有简单压力容器6个</w:t>
            </w:r>
            <w:r>
              <w:rPr>
                <w:rFonts w:hint="eastAsia" w:ascii="Times New Roman" w:hAnsi="Times New Roman" w:cs="Times New Roman"/>
                <w:b w:val="0"/>
                <w:bCs/>
                <w:color w:val="000000" w:themeColor="text1"/>
                <w:sz w:val="20"/>
                <w:szCs w:val="20"/>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11 .对危险化学品销售、使用、储存、运输处置，规定的执行力度(必要时); （适用时）</w:t>
            </w:r>
          </w:p>
          <w:p>
            <w:pPr>
              <w:spacing w:line="240" w:lineRule="exact"/>
              <w:rPr>
                <w:color w:val="000000" w:themeColor="text1"/>
                <w:sz w:val="20"/>
                <w:szCs w:val="20"/>
                <w14:textFill>
                  <w14:solidFill>
                    <w14:schemeClr w14:val="tx1"/>
                  </w14:solidFill>
                </w14:textFill>
              </w:rPr>
            </w:pPr>
            <w:r>
              <w:rPr>
                <w:rFonts w:hint="eastAsia" w:asciiTheme="minorEastAsia" w:hAnsiTheme="minorEastAsia" w:eastAsiaTheme="minorEastAsia"/>
                <w:b/>
                <w:color w:val="000000" w:themeColor="text1"/>
                <w:spacing w:val="-4"/>
                <w:sz w:val="20"/>
                <w:szCs w:val="2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1. .对质量/环境/职业健康安全目标指标进行定期监测/检查情况（适用时）</w:t>
            </w:r>
          </w:p>
          <w:p>
            <w:pPr>
              <w:spacing w:line="240" w:lineRule="exact"/>
              <w:ind w:firstLine="525" w:firstLineChars="250"/>
              <w:rPr>
                <w:b/>
                <w:color w:val="000000" w:themeColor="text1"/>
                <w:sz w:val="20"/>
                <w:szCs w:val="20"/>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themeColor="text1"/>
                <w:szCs w:val="21"/>
                <w:lang w:val="en-US" w:eastAsia="zh-CN"/>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1月</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2021年6</w:t>
            </w:r>
            <w:r>
              <w:rPr>
                <w:rFonts w:hint="eastAsia" w:ascii="宋体" w:hAnsi="宋体" w:cs="宋体"/>
                <w:color w:val="000000" w:themeColor="text1"/>
                <w:szCs w:val="21"/>
                <w14:textFill>
                  <w14:solidFill>
                    <w14:schemeClr w14:val="tx1"/>
                  </w14:solidFill>
                </w14:textFill>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2.顾客满意</w:t>
            </w:r>
          </w:p>
          <w:p>
            <w:pPr>
              <w:spacing w:line="240" w:lineRule="exact"/>
              <w:ind w:left="105" w:leftChars="50" w:firstLine="315" w:firstLineChars="150"/>
              <w:rPr>
                <w:b/>
                <w:color w:val="000000" w:themeColor="text1"/>
                <w:sz w:val="20"/>
                <w:szCs w:val="20"/>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themeColor="text1"/>
                <w:szCs w:val="21"/>
                <w:lang w:val="en-US" w:eastAsia="zh-CN"/>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月实施，满意度评价</w:t>
            </w:r>
            <w:r>
              <w:rPr>
                <w:rFonts w:hint="eastAsia" w:ascii="宋体" w:hAnsi="宋体" w:cs="宋体"/>
                <w:color w:val="000000" w:themeColor="text1"/>
                <w:szCs w:val="21"/>
                <w:lang w:val="en-US" w:eastAsia="zh-CN"/>
                <w14:textFill>
                  <w14:solidFill>
                    <w14:schemeClr w14:val="tx1"/>
                  </w14:solidFill>
                </w14:textFill>
              </w:rPr>
              <w:t>98%</w:t>
            </w:r>
            <w:r>
              <w:rPr>
                <w:rFonts w:hint="eastAsia" w:ascii="宋体" w:hAnsi="宋体" w:cs="宋体"/>
                <w:color w:val="000000" w:themeColor="text1"/>
                <w:szCs w:val="21"/>
                <w14:textFill>
                  <w14:solidFill>
                    <w14:schemeClr w14:val="tx1"/>
                  </w14:solidFill>
                </w14:textFill>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建立有《内部审核控制程序》，规定了内审频次一年一次，内审时间</w:t>
            </w:r>
            <w:r>
              <w:rPr>
                <w:rFonts w:hint="eastAsia" w:ascii="宋体" w:hAnsi="宋体" w:cs="宋体"/>
                <w:szCs w:val="21"/>
                <w:lang w:eastAsia="zh-CN"/>
              </w:rPr>
              <w:t>：</w:t>
            </w:r>
            <w:r>
              <w:rPr>
                <w:rFonts w:hint="eastAsia"/>
                <w:sz w:val="21"/>
                <w:szCs w:val="21"/>
                <w:highlight w:val="none"/>
                <w:lang w:eastAsia="zh-CN"/>
              </w:rPr>
              <w:t>202</w:t>
            </w:r>
            <w:r>
              <w:rPr>
                <w:rFonts w:hint="eastAsia"/>
                <w:sz w:val="21"/>
                <w:szCs w:val="21"/>
                <w:highlight w:val="none"/>
                <w:lang w:val="en-US" w:eastAsia="zh-CN"/>
              </w:rPr>
              <w:t>1</w:t>
            </w:r>
            <w:r>
              <w:rPr>
                <w:rFonts w:hint="eastAsia"/>
                <w:sz w:val="21"/>
                <w:szCs w:val="21"/>
                <w:highlight w:val="none"/>
                <w:lang w:eastAsia="zh-CN"/>
              </w:rPr>
              <w:t>年</w:t>
            </w:r>
            <w:r>
              <w:rPr>
                <w:rFonts w:hint="eastAsia"/>
                <w:sz w:val="21"/>
                <w:szCs w:val="21"/>
                <w:highlight w:val="none"/>
                <w:lang w:val="en-US" w:eastAsia="zh-CN"/>
              </w:rPr>
              <w:t>05</w:t>
            </w:r>
            <w:r>
              <w:rPr>
                <w:rFonts w:hint="eastAsia"/>
                <w:sz w:val="21"/>
                <w:szCs w:val="21"/>
                <w:highlight w:val="none"/>
                <w:lang w:eastAsia="zh-CN"/>
              </w:rPr>
              <w:t>月</w:t>
            </w:r>
            <w:r>
              <w:rPr>
                <w:rFonts w:hint="eastAsia"/>
                <w:sz w:val="21"/>
                <w:szCs w:val="21"/>
                <w:highlight w:val="none"/>
                <w:lang w:val="en-US" w:eastAsia="zh-CN"/>
              </w:rPr>
              <w:t>10</w:t>
            </w:r>
            <w:r>
              <w:rPr>
                <w:rFonts w:hint="eastAsia"/>
                <w:sz w:val="21"/>
                <w:szCs w:val="21"/>
                <w:highlight w:val="none"/>
                <w:lang w:eastAsia="zh-CN"/>
              </w:rPr>
              <w:t>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sz w:val="21"/>
                <w:szCs w:val="21"/>
              </w:rPr>
              <w:t>涉及</w:t>
            </w:r>
            <w:r>
              <w:rPr>
                <w:rFonts w:hint="eastAsia"/>
                <w:sz w:val="21"/>
                <w:szCs w:val="21"/>
                <w:lang w:eastAsia="zh-CN"/>
              </w:rPr>
              <w:t>行政</w:t>
            </w:r>
            <w:r>
              <w:rPr>
                <w:rFonts w:hint="eastAsia"/>
                <w:sz w:val="21"/>
                <w:szCs w:val="21"/>
              </w:rPr>
              <w:t>部</w:t>
            </w:r>
            <w:r>
              <w:rPr>
                <w:rFonts w:hint="eastAsia"/>
                <w:sz w:val="21"/>
                <w:szCs w:val="21"/>
                <w:lang w:val="en-US" w:eastAsia="zh-CN"/>
              </w:rPr>
              <w:t>7.2条款。</w:t>
            </w:r>
            <w:r>
              <w:rPr>
                <w:rFonts w:hint="eastAsia" w:ascii="Times New Roman" w:hAnsi="Times New Roman" w:cs="Times New Roman"/>
                <w:szCs w:val="21"/>
                <w:lang w:eastAsia="zh-CN"/>
              </w:rPr>
              <w:t>对不符合事实描述为“</w:t>
            </w:r>
            <w:r>
              <w:rPr>
                <w:rFonts w:hint="eastAsia" w:ascii="Times New Roman" w:hAnsi="Times New Roman" w:cs="Times New Roman"/>
                <w:szCs w:val="21"/>
                <w:lang w:val="en-US" w:eastAsia="zh-CN"/>
              </w:rPr>
              <w:t>现场查看发现“中华人民共和国产品质量法”培训记录未见培训效果评价</w:t>
            </w:r>
            <w:r>
              <w:rPr>
                <w:rFonts w:hint="eastAsia" w:ascii="Times New Roman" w:hAnsi="Times New Roman" w:cs="Times New Roman"/>
                <w:szCs w:val="21"/>
                <w:lang w:eastAsia="zh-CN"/>
              </w:rPr>
              <w:t>”</w:t>
            </w:r>
            <w:r>
              <w:rPr>
                <w:rFonts w:hint="eastAsia" w:ascii="宋体" w:hAnsi="宋体" w:cs="宋体"/>
                <w:szCs w:val="21"/>
                <w:lang w:eastAsia="zh-CN"/>
              </w:rPr>
              <w:t>。</w:t>
            </w:r>
            <w:r>
              <w:rPr>
                <w:rFonts w:hint="eastAsia" w:ascii="宋体" w:hAnsi="宋体" w:cs="宋体"/>
                <w:szCs w:val="21"/>
              </w:rPr>
              <w:t>针对</w:t>
            </w:r>
            <w:r>
              <w:rPr>
                <w:rFonts w:hint="eastAsia" w:ascii="宋体" w:hAnsi="宋体" w:cs="宋体"/>
                <w:szCs w:val="21"/>
                <w:lang w:val="en-US" w:eastAsia="zh-CN"/>
              </w:rPr>
              <w:t>以上</w:t>
            </w:r>
            <w:r>
              <w:rPr>
                <w:rFonts w:hint="eastAsia" w:ascii="宋体" w:hAnsi="宋体" w:cs="宋体"/>
                <w:szCs w:val="21"/>
              </w:rPr>
              <w:t>不符合项，已及</w:t>
            </w:r>
            <w:r>
              <w:rPr>
                <w:rFonts w:hint="eastAsia"/>
                <w:szCs w:val="21"/>
              </w:rPr>
              <w:t>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28</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val="0"/>
                <w:bCs/>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3"/>
              </w:numPr>
              <w:spacing w:line="240" w:lineRule="exact"/>
              <w:rPr>
                <w:rFonts w:hint="eastAsia"/>
                <w:b/>
                <w:color w:val="000000" w:themeColor="text1"/>
                <w:spacing w:val="-20"/>
                <w:sz w:val="20"/>
                <w:szCs w:val="20"/>
              </w:rPr>
            </w:pPr>
            <w:r>
              <w:rPr>
                <w:rFonts w:hint="eastAsia"/>
                <w:b/>
                <w:color w:val="000000" w:themeColor="text1"/>
                <w:spacing w:val="-20"/>
                <w:sz w:val="20"/>
                <w:szCs w:val="20"/>
              </w:rPr>
              <w:t>一阶段提出问题的整改情况?</w:t>
            </w:r>
          </w:p>
          <w:p>
            <w:pPr>
              <w:spacing w:line="240" w:lineRule="exact"/>
              <w:rPr>
                <w:rFonts w:hint="default" w:eastAsia="宋体"/>
                <w:b/>
                <w:color w:val="000000" w:themeColor="text1"/>
                <w:spacing w:val="-20"/>
                <w:sz w:val="20"/>
                <w:szCs w:val="20"/>
                <w:lang w:val="en-US" w:eastAsia="zh-CN"/>
              </w:rPr>
            </w:pPr>
            <w:r>
              <w:rPr>
                <w:rFonts w:hint="eastAsia"/>
                <w:b w:val="0"/>
                <w:bCs/>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val="0"/>
                <w:bCs/>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14:textFill>
            <w14:solidFill>
              <w14:schemeClr w14:val="tx1"/>
            </w14:solidFill>
          </w14:textFill>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14:textFill>
            <w14:solidFill>
              <w14:schemeClr w14:val="tx1"/>
            </w14:solidFill>
          </w14:textFill>
        </w:rPr>
      </w:pPr>
      <w:r>
        <w:rPr>
          <w:rFonts w:hint="eastAsia"/>
          <w:b/>
          <w:color w:val="000000" w:themeColor="text1"/>
          <w14:textFill>
            <w14:solidFill>
              <w14:schemeClr w14:val="tx1"/>
            </w14:solidFill>
          </w14:textFill>
        </w:rPr>
        <w:t>1. 本次审核共开具不符合项报告</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项；其中</w:t>
      </w:r>
      <w:r>
        <w:rPr>
          <w:b/>
          <w:color w:val="000000" w:themeColor="text1"/>
          <w14:textFill>
            <w14:solidFill>
              <w14:schemeClr w14:val="tx1"/>
            </w14:solidFill>
          </w14:textFill>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14:textFill>
            <w14:solidFill>
              <w14:schemeClr w14:val="tx1"/>
            </w14:solidFill>
          </w14:textFill>
        </w:rPr>
        <w:t>严重不符合</w:t>
      </w:r>
      <w:r>
        <w:rPr>
          <w:rFonts w:hint="eastAsia"/>
          <w:b/>
          <w:color w:val="000000" w:themeColor="text1"/>
          <w:lang w:val="en-US" w:eastAsia="zh-CN"/>
          <w14:textFill>
            <w14:solidFill>
              <w14:schemeClr w14:val="tx1"/>
            </w14:solidFill>
          </w14:textFill>
        </w:rPr>
        <w:t>0</w:t>
      </w:r>
      <w:r>
        <w:rPr>
          <w:rFonts w:hint="eastAsia"/>
          <w:b/>
          <w:color w:val="000000" w:themeColor="text1"/>
          <w14:textFill>
            <w14:solidFill>
              <w14:schemeClr w14:val="tx1"/>
            </w14:solidFill>
          </w14:textFill>
        </w:rPr>
        <w:t>项，一般不符合</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项，观察项项分布在</w:t>
      </w:r>
      <w:r>
        <w:rPr>
          <w:rFonts w:hint="eastAsia" w:ascii="方正仿宋简体" w:eastAsia="方正仿宋简体"/>
          <w:b/>
          <w:color w:val="000000" w:themeColor="text1"/>
          <w:lang w:val="en-US" w:eastAsia="zh-CN"/>
          <w14:textFill>
            <w14:solidFill>
              <w14:schemeClr w14:val="tx1"/>
            </w14:solidFill>
          </w14:textFill>
        </w:rPr>
        <w:t>行政部</w:t>
      </w:r>
      <w:r>
        <w:rPr>
          <w:rFonts w:hint="eastAsia" w:ascii="方正仿宋简体" w:eastAsia="方正仿宋简体"/>
          <w:b/>
          <w:color w:val="000000" w:themeColor="text1"/>
          <w:lang w:eastAsia="zh-CN"/>
          <w14:textFill>
            <w14:solidFill>
              <w14:schemeClr w14:val="tx1"/>
            </w14:solidFill>
          </w14:textFill>
        </w:rPr>
        <w:t>部</w:t>
      </w:r>
      <w:r>
        <w:rPr>
          <w:rFonts w:hint="eastAsia"/>
          <w:b/>
          <w:color w:val="000000" w:themeColor="text1"/>
          <w14:textFill>
            <w14:solidFill>
              <w14:schemeClr w14:val="tx1"/>
            </w14:solidFill>
          </w14:textFill>
        </w:rPr>
        <w:t>门</w:t>
      </w:r>
      <w:r>
        <w:rPr>
          <w:rFonts w:hint="eastAsia" w:ascii="宋体" w:hAnsi="宋体"/>
          <w:b/>
          <w:color w:val="000000" w:themeColor="text1"/>
          <w:sz w:val="22"/>
          <w:szCs w:val="22"/>
          <w:lang w:val="en-US" w:eastAsia="zh-CN"/>
          <w14:textFill>
            <w14:solidFill>
              <w14:schemeClr w14:val="tx1"/>
            </w14:solidFill>
          </w14:textFill>
        </w:rPr>
        <w:t>7.1.3</w:t>
      </w:r>
      <w:r>
        <w:rPr>
          <w:rFonts w:hint="eastAsia"/>
          <w:b/>
          <w:color w:val="000000" w:themeColor="text1"/>
          <w14:textFill>
            <w14:solidFill>
              <w14:schemeClr w14:val="tx1"/>
            </w14:solidFill>
          </w14:textFill>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rPr>
        <w:t>■</w:t>
      </w:r>
      <w:r>
        <w:rPr>
          <w:rFonts w:hint="eastAsia"/>
          <w:b/>
          <w:color w:val="000000" w:themeColor="text1"/>
        </w:rPr>
        <w:t>不大</w:t>
      </w:r>
      <w:bookmarkStart w:id="22" w:name="_GoBack"/>
      <w:bookmarkEnd w:id="22"/>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37" w:leftChars="-337" w:hanging="571" w:hangingChars="271"/>
        <w:rPr>
          <w:rFonts w:hint="eastAsia" w:ascii="宋体" w:hAnsi="宋体" w:eastAsia="宋体"/>
          <w:b/>
          <w:color w:val="000000" w:themeColor="text1"/>
          <w:szCs w:val="21"/>
          <w:lang w:val="en-US" w:eastAsia="zh-CN"/>
        </w:rPr>
      </w:pPr>
      <w:r>
        <w:rPr>
          <w:rFonts w:hint="eastAsia" w:ascii="宋体" w:hAnsi="宋体"/>
          <w:b/>
          <w:color w:val="000000" w:themeColor="text1"/>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9"/>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审核范围变更，</w:t>
            </w:r>
          </w:p>
          <w:p>
            <w:pPr>
              <w:spacing w:line="320" w:lineRule="exact"/>
              <w:rPr>
                <w:rFonts w:ascii="宋体" w:hAnsi="宋体"/>
                <w:b/>
                <w:color w:val="000000" w:themeColor="text1"/>
                <w:sz w:val="20"/>
                <w:szCs w:val="20"/>
              </w:rPr>
            </w:pPr>
            <w:r>
              <w:rPr>
                <w:rFonts w:ascii="宋体" w:hAnsi="宋体"/>
                <w:b/>
                <w:color w:val="000000" w:themeColor="text1"/>
              </w:rPr>
              <w:t>QMS:</w:t>
            </w:r>
            <w:r>
              <w:rPr>
                <w:rFonts w:ascii="宋体" w:hAnsi="宋体"/>
                <w:b/>
                <w:color w:val="000000" w:themeColor="text1"/>
                <w:sz w:val="20"/>
                <w:szCs w:val="20"/>
              </w:rPr>
              <w:t>汽车方向机的加工</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3"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bCs/>
          <w:color w:val="000000" w:themeColor="text1"/>
          <w:szCs w:val="28"/>
          <w:u w:val="single"/>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napToGrid w:val="0"/>
        <w:spacing w:after="156"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661312" behindDoc="0" locked="0" layoutInCell="1" allowOverlap="1">
            <wp:simplePos x="0" y="0"/>
            <wp:positionH relativeFrom="column">
              <wp:posOffset>1541145</wp:posOffset>
            </wp:positionH>
            <wp:positionV relativeFrom="paragraph">
              <wp:posOffset>398145</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drawing>
          <wp:anchor distT="0" distB="0" distL="114300" distR="114300" simplePos="0" relativeHeight="251662336" behindDoc="0" locked="0" layoutInCell="1" allowOverlap="1">
            <wp:simplePos x="0" y="0"/>
            <wp:positionH relativeFrom="column">
              <wp:posOffset>1529715</wp:posOffset>
            </wp:positionH>
            <wp:positionV relativeFrom="paragraph">
              <wp:posOffset>93980</wp:posOffset>
            </wp:positionV>
            <wp:extent cx="590550" cy="428625"/>
            <wp:effectExtent l="0" t="0" r="3810" b="13335"/>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7" cstate="print"/>
                    <a:srcRect/>
                    <a:stretch>
                      <a:fillRect/>
                    </a:stretch>
                  </pic:blipFill>
                  <pic:spPr>
                    <a:xfrm>
                      <a:off x="0" y="0"/>
                      <a:ext cx="590550" cy="428625"/>
                    </a:xfrm>
                    <a:prstGeom prst="rect">
                      <a:avLst/>
                    </a:prstGeom>
                    <a:noFill/>
                    <a:ln w="9525">
                      <a:noFill/>
                      <a:miter lim="800000"/>
                      <a:headEnd/>
                      <a:tailEnd/>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2021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07</w:t>
      </w:r>
      <w:r>
        <w:rPr>
          <w:rFonts w:hint="eastAsia" w:asciiTheme="minorEastAsia" w:hAnsiTheme="minorEastAsia" w:eastAsiaTheme="minorEastAsia"/>
          <w:b/>
          <w:color w:val="000000" w:themeColor="text1"/>
        </w:rPr>
        <w:t xml:space="preserve">  月</w:t>
      </w:r>
      <w:r>
        <w:rPr>
          <w:rFonts w:hint="eastAsia" w:asciiTheme="minorEastAsia" w:hAnsiTheme="minorEastAsia" w:eastAsiaTheme="minorEastAsia"/>
          <w:b/>
          <w:color w:val="000000" w:themeColor="text1"/>
          <w:lang w:val="en-US" w:eastAsia="zh-CN"/>
        </w:rPr>
        <w:t>07</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color w:val="000000" w:themeColor="text1"/>
          <w:szCs w:val="21"/>
        </w:rPr>
        <w:t>存在问题说明及意见：</w:t>
      </w: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804545</wp:posOffset>
            </wp:positionH>
            <wp:positionV relativeFrom="paragraph">
              <wp:posOffset>168910</wp:posOffset>
            </wp:positionV>
            <wp:extent cx="422910" cy="320040"/>
            <wp:effectExtent l="0" t="0" r="3810" b="0"/>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 w:val="16"/>
          <w:szCs w:val="16"/>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21"/>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1B8CD"/>
    <w:multiLevelType w:val="singleLevel"/>
    <w:tmpl w:val="07C1B8CD"/>
    <w:lvl w:ilvl="0" w:tentative="0">
      <w:start w:val="3"/>
      <w:numFmt w:val="decimal"/>
      <w:suff w:val="space"/>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48660E"/>
    <w:rsid w:val="06332681"/>
    <w:rsid w:val="086E7F6B"/>
    <w:rsid w:val="1A516A5C"/>
    <w:rsid w:val="1D726B78"/>
    <w:rsid w:val="249B328D"/>
    <w:rsid w:val="2DF8438E"/>
    <w:rsid w:val="32200423"/>
    <w:rsid w:val="34FB0C9D"/>
    <w:rsid w:val="3AC305F6"/>
    <w:rsid w:val="40DB76BD"/>
    <w:rsid w:val="4E4C5E88"/>
    <w:rsid w:val="56785ED2"/>
    <w:rsid w:val="5A9B1FF5"/>
    <w:rsid w:val="5C0D57F3"/>
    <w:rsid w:val="6D56642E"/>
    <w:rsid w:val="71D86A6A"/>
    <w:rsid w:val="766373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Plain Text"/>
    <w:basedOn w:val="1"/>
    <w:qFormat/>
    <w:uiPriority w:val="0"/>
    <w:pPr>
      <w:jc w:val="both"/>
    </w:pPr>
    <w:rPr>
      <w:rFonts w:ascii="宋体" w:hAnsi="Courier New" w:eastAsia="宋体"/>
      <w:szCs w:val="24"/>
    </w:r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7"/>
    <w:qFormat/>
    <w:uiPriority w:val="99"/>
    <w:rPr>
      <w:rFonts w:ascii="Times New Roman" w:hAnsi="Times New Roman" w:eastAsia="宋体" w:cs="Times New Roman"/>
      <w:sz w:val="18"/>
      <w:szCs w:val="18"/>
    </w:rPr>
  </w:style>
  <w:style w:type="character" w:customStyle="1" w:styleId="15">
    <w:name w:val="页脚 Char"/>
    <w:basedOn w:val="11"/>
    <w:link w:val="6"/>
    <w:qFormat/>
    <w:uiPriority w:val="99"/>
    <w:rPr>
      <w:rFonts w:ascii="Times New Roman" w:hAnsi="Times New Roman" w:eastAsia="宋体" w:cs="Times New Roman"/>
      <w:sz w:val="18"/>
      <w:szCs w:val="18"/>
    </w:rPr>
  </w:style>
  <w:style w:type="character" w:customStyle="1" w:styleId="16">
    <w:name w:val="批注框文本 Char"/>
    <w:basedOn w:val="11"/>
    <w:link w:val="5"/>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2</TotalTime>
  <ScaleCrop>false</ScaleCrop>
  <LinksUpToDate>false</LinksUpToDate>
  <CharactersWithSpaces>5143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2021-07-07T07:14:19Z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B2854EDA216641F69437FD6FA26BDDB5</vt:lpwstr>
  </property>
</Properties>
</file>