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35"/>
        <w:gridCol w:w="139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重庆可奇机械制造有限公司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22.03.02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5" w:name="审核范围"/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汽车方向机的加工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22.03.02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cs="Times New Roman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 w:themeColor="text1"/>
                <w:sz w:val="21"/>
                <w:szCs w:val="21"/>
              </w:rPr>
              <w:t>汽车方向机的加工工艺过程：</w:t>
            </w:r>
          </w:p>
          <w:p>
            <w:pPr>
              <w:spacing w:line="360" w:lineRule="auto"/>
              <w:ind w:firstLine="420" w:firstLineChars="200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 w:themeColor="text1"/>
                <w:sz w:val="21"/>
                <w:szCs w:val="21"/>
              </w:rPr>
              <w:t>下料—机加过程（冷镦、车、钻、滚丝等）—镀锌（外包）—成品检验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公司将表面处理（镀锌）确认为特殊工序。该过程为外包过程，按《外部供方控制程序》对其进行控制管理。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关键过程：机加过程，通过工艺卡、产品图进行控制，</w:t>
            </w:r>
          </w:p>
          <w:p>
            <w:pPr>
              <w:pStyle w:val="2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存在风险：尺寸和表面质量不合格。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/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QC/T 29097-2014汽车转向器总成技术要求；QCT267-1999汽车切削加工零件未注公差尺寸的极限偏差；JB/T 9168.10-1998切削加工通用工艺守则数控加工；GB/T1804-2000一般公差 未注公差的线性和角度尺寸的公差等标准及客户技术要求。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检验项目为：尺寸、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外观、盐雾试验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（由供方提供）等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121920</wp:posOffset>
            </wp:positionV>
            <wp:extent cx="422910" cy="320040"/>
            <wp:effectExtent l="0" t="0" r="3810" b="0"/>
            <wp:wrapNone/>
            <wp:docPr id="2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1200785</wp:posOffset>
            </wp:positionH>
            <wp:positionV relativeFrom="paragraph">
              <wp:posOffset>102235</wp:posOffset>
            </wp:positionV>
            <wp:extent cx="422910" cy="320040"/>
            <wp:effectExtent l="0" t="0" r="3810" b="0"/>
            <wp:wrapNone/>
            <wp:docPr id="3" name="图片 3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 xml:space="preserve">2021年07月07日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2021年07月07日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CF02C0"/>
    <w:rsid w:val="2CF70F3C"/>
    <w:rsid w:val="4A085A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2021-07-07T07:08:26Z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30DF02179329455EBBF857CFD559F585</vt:lpwstr>
  </property>
</Properties>
</file>