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0687-2021-QEO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四川苏鲁锭科技有限公司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Q:29.11.05,34.06.00</w:t>
            </w:r>
          </w:p>
          <w:p>
            <w:pPr>
              <w:spacing w:line="240" w:lineRule="exact"/>
              <w:jc w:val="center"/>
              <w:rPr>
                <w:b/>
                <w:color w:val="000000"/>
                <w:sz w:val="20"/>
                <w:szCs w:val="20"/>
              </w:rPr>
            </w:pPr>
            <w:r>
              <w:rPr>
                <w:b/>
                <w:color w:val="000000"/>
                <w:sz w:val="20"/>
                <w:szCs w:val="20"/>
              </w:rPr>
              <w:t>E:29.11.05,34.06.00</w:t>
            </w:r>
          </w:p>
          <w:p>
            <w:pPr>
              <w:spacing w:line="240" w:lineRule="exact"/>
              <w:jc w:val="center"/>
              <w:rPr>
                <w:b/>
                <w:color w:val="000000"/>
                <w:sz w:val="20"/>
                <w:szCs w:val="20"/>
              </w:rPr>
            </w:pPr>
            <w:r>
              <w:rPr>
                <w:b/>
                <w:color w:val="000000"/>
                <w:sz w:val="20"/>
                <w:szCs w:val="20"/>
              </w:rPr>
              <w:t>O:29.11.05,34.06.00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陈伟</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lang w:val="de-DE"/>
        </w:rPr>
        <w:t>ISO45001：2018</w:t>
      </w:r>
      <w:r>
        <w:rPr>
          <w:rFonts w:ascii="宋体" w:hAnsi="宋体"/>
          <w:b/>
          <w:color w:val="000000"/>
          <w:sz w:val="20"/>
          <w:szCs w:val="20"/>
          <w:lang w:val="de-DE"/>
        </w:rPr>
        <w:t xml:space="preserve">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四川苏鲁锭科技有限公司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成都市新都区新都大道8号西南石油大学科技园大厦404</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成都市新都区新都大道8号西南石油大学科技园大厦404</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陈红伟</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13541285399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崔军波</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陈红伟</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b/>
                <w:color w:val="000000"/>
                <w:sz w:val="20"/>
                <w:szCs w:val="20"/>
                <w:lang w:val="en-US" w:eastAsia="zh-CN"/>
              </w:rPr>
              <w:t>2021年01月08日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Q：污水处理技术服务，专用化学产品销售（不含危险化学品）</w:t>
            </w:r>
          </w:p>
          <w:p>
            <w:pPr>
              <w:spacing w:line="400" w:lineRule="exact"/>
              <w:rPr>
                <w:rFonts w:ascii="宋体" w:hAnsi="宋体"/>
                <w:b/>
                <w:color w:val="000000"/>
                <w:sz w:val="20"/>
                <w:szCs w:val="20"/>
              </w:rPr>
            </w:pPr>
            <w:r>
              <w:rPr>
                <w:rFonts w:ascii="宋体" w:hAnsi="宋体"/>
                <w:b/>
                <w:color w:val="000000"/>
                <w:sz w:val="20"/>
                <w:szCs w:val="20"/>
              </w:rPr>
              <w:t>E：污水处理技术服务，专用化学产品销售（不含危险化学品）所涉及场所的相关环境管理活动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O：污水处理技术服务，专用化学产品销售（不含危险化学品）所涉及场所的相关职业健康安全管理活动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Q：29.11.05;34.06.00</w:t>
            </w:r>
          </w:p>
          <w:p>
            <w:pPr>
              <w:spacing w:line="280" w:lineRule="exact"/>
              <w:rPr>
                <w:rFonts w:ascii="宋体"/>
                <w:b/>
                <w:color w:val="000000"/>
                <w:sz w:val="20"/>
                <w:szCs w:val="20"/>
              </w:rPr>
            </w:pPr>
            <w:r>
              <w:rPr>
                <w:rFonts w:ascii="宋体"/>
                <w:b/>
                <w:color w:val="000000"/>
                <w:sz w:val="20"/>
                <w:szCs w:val="20"/>
              </w:rPr>
              <w:t>E：29.11.05;34.06.00</w:t>
            </w:r>
          </w:p>
          <w:p>
            <w:pPr>
              <w:spacing w:line="280" w:lineRule="exact"/>
              <w:rPr>
                <w:rFonts w:ascii="宋体"/>
                <w:b/>
                <w:color w:val="000000"/>
                <w:sz w:val="20"/>
                <w:szCs w:val="20"/>
              </w:rPr>
            </w:pPr>
            <w:r>
              <w:rPr>
                <w:rFonts w:ascii="宋体"/>
                <w:b/>
                <w:color w:val="000000"/>
                <w:sz w:val="20"/>
                <w:szCs w:val="20"/>
              </w:rPr>
              <w:t>O：29.11.05;34.06.00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7" w:firstLineChars="148"/>
        <w:rPr>
          <w:rFonts w:hint="default" w:ascii="宋体" w:eastAsia="宋体"/>
          <w:b/>
          <w:color w:val="000000"/>
          <w:sz w:val="20"/>
          <w:szCs w:val="20"/>
          <w:lang w:val="en-US" w:eastAsia="zh-CN"/>
        </w:rPr>
      </w:pPr>
      <w:r>
        <w:rPr>
          <w:rFonts w:hint="eastAsia" w:ascii="宋体" w:hAnsi="宋体"/>
          <w:b/>
          <w:color w:val="000000"/>
          <w:sz w:val="20"/>
          <w:szCs w:val="20"/>
          <w:lang w:val="de-DE"/>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管理手册、程序文件、内部审核、管理评审等”。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79" w:firstLineChars="139"/>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eastAsia="宋体"/>
          <w:b/>
          <w:color w:val="000000"/>
          <w:sz w:val="20"/>
          <w:szCs w:val="20"/>
          <w:lang w:eastAsia="zh-CN"/>
        </w:rPr>
      </w:pPr>
      <w:r>
        <w:rPr>
          <w:rFonts w:hint="eastAsia" w:ascii="宋体" w:hAnsi="宋体"/>
          <w:b/>
          <w:color w:val="000000"/>
          <w:sz w:val="20"/>
          <w:szCs w:val="20"/>
        </w:rPr>
        <w:t>部门：</w:t>
      </w:r>
      <w:r>
        <w:rPr>
          <w:rFonts w:hint="eastAsia" w:ascii="宋体" w:hAnsi="宋体"/>
          <w:b/>
          <w:color w:val="000000"/>
          <w:sz w:val="20"/>
          <w:szCs w:val="20"/>
          <w:lang w:eastAsia="zh-CN"/>
        </w:rPr>
        <w:t>综合部、技术部</w:t>
      </w:r>
    </w:p>
    <w:p>
      <w:pPr>
        <w:spacing w:line="300" w:lineRule="auto"/>
        <w:ind w:firstLine="269" w:firstLineChars="134"/>
        <w:rPr>
          <w:rFonts w:hint="eastAsia" w:ascii="宋体" w:eastAsia="宋体"/>
          <w:b/>
          <w:color w:val="000000"/>
          <w:sz w:val="20"/>
          <w:szCs w:val="20"/>
          <w:u w:val="single"/>
          <w:lang w:eastAsia="zh-CN"/>
        </w:rPr>
      </w:pPr>
      <w:r>
        <w:rPr>
          <w:rFonts w:hint="eastAsia" w:ascii="宋体" w:hAnsi="宋体"/>
          <w:b/>
          <w:color w:val="000000"/>
          <w:sz w:val="20"/>
          <w:szCs w:val="20"/>
        </w:rPr>
        <w:t>场所：</w:t>
      </w:r>
      <w:r>
        <w:rPr>
          <w:rFonts w:hint="eastAsia" w:ascii="宋体" w:hAnsi="宋体"/>
          <w:b/>
          <w:color w:val="000000"/>
          <w:sz w:val="20"/>
          <w:szCs w:val="20"/>
          <w:lang w:eastAsia="zh-CN"/>
        </w:rPr>
        <w:t>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vAlign w:val="top"/>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vAlign w:val="top"/>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vAlign w:val="top"/>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环境</w:t>
            </w:r>
          </w:p>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z w:val="20"/>
                <w:szCs w:val="20"/>
                <w:lang w:val="de-DE"/>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服务：污水处理技术服务，专用化学产品销售（不含危险化学品）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公司部门设置：</w:t>
            </w:r>
            <w:r>
              <w:rPr>
                <w:rFonts w:hint="eastAsia" w:ascii="宋体" w:hAnsi="宋体"/>
                <w:b/>
                <w:color w:val="000000"/>
                <w:sz w:val="20"/>
                <w:szCs w:val="20"/>
                <w:lang w:eastAsia="zh-CN"/>
              </w:rPr>
              <w:t>综合部、技术部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eastAsia="zh-CN"/>
              </w:rPr>
              <w:t>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eastAsia="宋体"/>
                <w:color w:val="000000"/>
                <w:sz w:val="20"/>
                <w:szCs w:val="20"/>
                <w:lang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eastAsia="zh-CN"/>
              </w:rPr>
              <w:t>无</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eastAsia="zh-CN"/>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eastAsia="zh-CN"/>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rPr>
                <w:rFonts w:hint="default" w:ascii="宋体" w:eastAsia="宋体"/>
                <w:color w:val="000000"/>
                <w:sz w:val="20"/>
                <w:szCs w:val="20"/>
                <w:lang w:val="en-US" w:eastAsia="zh-CN"/>
              </w:rPr>
            </w:pPr>
            <w:r>
              <w:rPr>
                <w:rFonts w:hint="eastAsia" w:ascii="宋体"/>
                <w:color w:val="000000"/>
                <w:sz w:val="20"/>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eastAsia="zh-CN"/>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受审核方位于：成都市新都区新都大道8号西南石油大学科技园大厦404</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黑体" w:hAnsi="黑体" w:eastAsia="黑体" w:cs="黑体"/>
                <w:color w:val="000000"/>
                <w:spacing w:val="-1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黑体" w:hAnsi="黑体" w:eastAsia="黑体" w:cs="黑体"/>
                <w:color w:val="000000"/>
                <w:spacing w:val="-10"/>
                <w:sz w:val="20"/>
                <w:szCs w:val="20"/>
                <w:highlight w:val="none"/>
              </w:rPr>
              <w:t>■</w:t>
            </w:r>
            <w:r>
              <w:rPr>
                <w:rFonts w:hint="eastAsia" w:ascii="宋体" w:hAnsi="宋体"/>
                <w:color w:val="000000"/>
                <w:spacing w:val="-10"/>
                <w:sz w:val="20"/>
                <w:szCs w:val="20"/>
                <w:highlight w:val="none"/>
              </w:rPr>
              <w:t>产品技术标准号：</w:t>
            </w:r>
            <w:r>
              <w:rPr>
                <w:rFonts w:hint="eastAsia" w:ascii="宋体" w:hAnsi="宋体" w:eastAsia="宋体" w:cs="Times New Roman"/>
                <w:szCs w:val="21"/>
                <w:highlight w:val="none"/>
                <w:lang w:val="en-US" w:eastAsia="zh-CN"/>
              </w:rPr>
              <w:t>SY/T5391994碎屑岩油藏注水水质指标及分析方法</w:t>
            </w:r>
            <w:r>
              <w:rPr>
                <w:rFonts w:hint="eastAsia" w:ascii="宋体" w:hAnsi="宋体" w:eastAsia="宋体" w:cs="Times New Roman"/>
                <w:szCs w:val="21"/>
                <w:highlight w:val="none"/>
                <w:lang w:eastAsia="zh-CN"/>
              </w:rPr>
              <w:t>等</w:t>
            </w:r>
            <w:r>
              <w:rPr>
                <w:rFonts w:hint="eastAsia" w:ascii="宋体" w:hAnsi="宋体" w:eastAsia="宋体" w:cs="Times New Roman"/>
                <w:szCs w:val="21"/>
                <w:highlight w:val="none"/>
              </w:rPr>
              <w:t>标</w:t>
            </w:r>
            <w:r>
              <w:rPr>
                <w:rFonts w:hint="eastAsia" w:ascii="宋体" w:hAnsi="宋体"/>
                <w:szCs w:val="21"/>
                <w:highlight w:val="none"/>
              </w:rPr>
              <w:t>准</w:t>
            </w:r>
            <w:r>
              <w:rPr>
                <w:rFonts w:hint="eastAsia" w:ascii="宋体" w:hAnsi="宋体"/>
                <w:szCs w:val="21"/>
                <w:highlight w:val="none"/>
                <w:lang w:eastAsia="zh-CN"/>
              </w:rPr>
              <w:t>，</w:t>
            </w:r>
            <w:r>
              <w:rPr>
                <w:rFonts w:hint="eastAsia" w:ascii="黑体" w:hAnsi="黑体" w:eastAsia="黑体" w:cs="黑体"/>
                <w:color w:val="000000"/>
                <w:spacing w:val="-10"/>
                <w:sz w:val="20"/>
                <w:szCs w:val="20"/>
                <w:highlight w:val="none"/>
              </w:rPr>
              <w:t>■</w:t>
            </w:r>
            <w:r>
              <w:rPr>
                <w:rFonts w:hint="eastAsia" w:ascii="宋体" w:hAnsi="宋体"/>
                <w:color w:val="000000"/>
                <w:spacing w:val="-10"/>
                <w:sz w:val="20"/>
                <w:szCs w:val="20"/>
                <w:highlight w:val="none"/>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hAnsi="宋体"/>
                <w:szCs w:val="21"/>
                <w:lang w:eastAsia="zh-CN"/>
              </w:rPr>
              <w:t>《</w:t>
            </w:r>
            <w:r>
              <w:rPr>
                <w:rFonts w:hint="eastAsia" w:ascii="宋体" w:hAnsi="宋体"/>
                <w:szCs w:val="21"/>
              </w:rPr>
              <w:t>恶臭污染物排放标准》（GB14554-1993）、《污水综合排放标准》（GB8978-1996）</w:t>
            </w:r>
            <w:r>
              <w:rPr>
                <w:rFonts w:hint="eastAsia" w:ascii="宋体" w:hAnsi="宋体"/>
                <w:szCs w:val="21"/>
                <w:lang w:eastAsia="zh-CN"/>
              </w:rPr>
              <w:t>、</w:t>
            </w:r>
            <w:r>
              <w:rPr>
                <w:rFonts w:hint="eastAsia" w:ascii="宋体" w:hAnsi="宋体"/>
                <w:szCs w:val="21"/>
              </w:rPr>
              <w:t>污水排入城镇下水道水质标准（</w:t>
            </w:r>
            <w:r>
              <w:rPr>
                <w:rFonts w:ascii="宋体" w:hAnsi="宋体"/>
                <w:szCs w:val="21"/>
              </w:rPr>
              <w:t>GB/T 31962-2015</w:t>
            </w:r>
            <w:r>
              <w:rPr>
                <w:rFonts w:hint="eastAsia" w:ascii="宋体" w:hAnsi="宋体"/>
                <w:szCs w:val="21"/>
              </w:rPr>
              <w:t>）、大气污染物综合排放标准（</w:t>
            </w:r>
            <w:r>
              <w:rPr>
                <w:rFonts w:ascii="宋体" w:hAnsi="宋体"/>
                <w:szCs w:val="21"/>
              </w:rPr>
              <w:t>GB 16297-1996</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color w:val="000000"/>
                <w:sz w:val="20"/>
                <w:szCs w:val="20"/>
              </w:rPr>
            </w:pPr>
            <w:r>
              <w:rPr>
                <w:rFonts w:hint="eastAsia" w:ascii="宋体"/>
                <w:color w:val="000000"/>
                <w:sz w:val="20"/>
                <w:szCs w:val="20"/>
              </w:rPr>
              <w:t>污水处理技术服务：</w:t>
            </w:r>
          </w:p>
          <w:p>
            <w:pPr>
              <w:rPr>
                <w:rFonts w:hint="eastAsia" w:ascii="宋体"/>
                <w:color w:val="000000"/>
                <w:sz w:val="20"/>
                <w:szCs w:val="20"/>
              </w:rPr>
            </w:pPr>
            <w:r>
              <w:rPr>
                <w:rFonts w:hint="eastAsia" w:ascii="宋体"/>
                <w:color w:val="000000"/>
                <w:sz w:val="20"/>
                <w:szCs w:val="20"/>
              </w:rPr>
              <w:t>污水取样——水样分析——技术方案制定——现场技术服务——服务结束</w:t>
            </w:r>
          </w:p>
          <w:p>
            <w:pPr>
              <w:rPr>
                <w:rFonts w:hint="eastAsia" w:ascii="宋体"/>
                <w:color w:val="000000"/>
                <w:sz w:val="20"/>
                <w:szCs w:val="20"/>
              </w:rPr>
            </w:pPr>
            <w:r>
              <w:rPr>
                <w:rFonts w:hint="eastAsia" w:ascii="宋体"/>
                <w:color w:val="000000"/>
                <w:sz w:val="20"/>
                <w:szCs w:val="20"/>
              </w:rPr>
              <w:t>专用化学产品销售（不含危险化学品）：</w:t>
            </w:r>
          </w:p>
          <w:p>
            <w:pPr>
              <w:rPr>
                <w:rFonts w:hint="eastAsia" w:ascii="宋体"/>
                <w:color w:val="000000"/>
                <w:sz w:val="20"/>
                <w:szCs w:val="20"/>
              </w:rPr>
            </w:pPr>
            <w:r>
              <w:rPr>
                <w:rFonts w:hint="eastAsia" w:ascii="宋体"/>
                <w:color w:val="000000"/>
                <w:sz w:val="20"/>
                <w:szCs w:val="20"/>
              </w:rPr>
              <w:t>客户洽谈——合同评审-----合同签订——产品采购——交付——售后</w:t>
            </w:r>
          </w:p>
          <w:p>
            <w:pPr>
              <w:rPr>
                <w:rFonts w:hint="default" w:ascii="宋体" w:eastAsia="宋体"/>
                <w:color w:val="000000"/>
                <w:sz w:val="20"/>
                <w:szCs w:val="20"/>
                <w:lang w:val="en-US" w:eastAsia="zh-CN"/>
              </w:rPr>
            </w:pPr>
            <w:r>
              <w:rPr>
                <w:rFonts w:hint="eastAsia" w:ascii="宋体"/>
                <w:color w:val="000000"/>
                <w:sz w:val="20"/>
                <w:szCs w:val="20"/>
                <w:lang w:eastAsia="zh-CN"/>
              </w:rPr>
              <w:t>技术服务过程、销售服务过程为特殊过程</w:t>
            </w:r>
            <w:r>
              <w:rPr>
                <w:rFonts w:hint="eastAsia" w:ascii="宋体"/>
                <w:color w:val="000000"/>
                <w:sz w:val="20"/>
                <w:szCs w:val="20"/>
                <w:lang w:val="en-US" w:eastAsia="zh-CN"/>
              </w:rPr>
              <w:t>/关键过程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color w:val="000000"/>
                <w:sz w:val="20"/>
                <w:szCs w:val="20"/>
                <w:lang w:eastAsia="zh-CN"/>
              </w:rPr>
              <w:t>技术服务过程、销售服务过程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针对关键过程建立的控制文件有：客户服务管理制度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color w:val="000000"/>
                <w:sz w:val="20"/>
                <w:szCs w:val="20"/>
                <w:lang w:eastAsia="zh-CN"/>
              </w:rPr>
              <w:t>技术服务过程、销售服务过程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外包过程有：</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szCs w:val="21"/>
                <w:highlight w:val="none"/>
                <w:lang w:val="en-US" w:eastAsia="zh-CN"/>
              </w:rPr>
              <w:t>电脑及</w:t>
            </w:r>
            <w:r>
              <w:rPr>
                <w:rFonts w:hint="eastAsia" w:ascii="宋体" w:hAnsi="宋体" w:cs="宋体"/>
                <w:szCs w:val="21"/>
                <w:highlight w:val="none"/>
              </w:rPr>
              <w:t>办公设备等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黑体" w:hAnsi="黑体" w:eastAsia="黑体" w:cs="黑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特种设备：</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spacing w:line="400" w:lineRule="exact"/>
              <w:rPr>
                <w:rFonts w:ascii="宋体"/>
                <w:color w:val="000000"/>
                <w:sz w:val="20"/>
                <w:szCs w:val="20"/>
                <w:highlight w:val="none"/>
              </w:rPr>
            </w:pPr>
            <w:r>
              <w:rPr>
                <w:rFonts w:hint="eastAsia" w:ascii="宋体"/>
                <w:color w:val="000000"/>
                <w:sz w:val="20"/>
                <w:szCs w:val="20"/>
                <w:highlight w:val="none"/>
              </w:rPr>
              <w:t>监视和测量设备（请简述主要监视和测量设备）：</w:t>
            </w:r>
            <w:r>
              <w:rPr>
                <w:rFonts w:hint="eastAsia" w:ascii="宋体" w:hAnsi="宋体"/>
                <w:szCs w:val="21"/>
                <w:highlight w:val="none"/>
                <w:lang w:val="en-US" w:eastAsia="zh-CN"/>
              </w:rPr>
              <w:t>浊度仪、PH计、紫外分光光度仪、分析天平天平</w:t>
            </w:r>
            <w:r>
              <w:rPr>
                <w:rFonts w:hint="eastAsia" w:ascii="宋体" w:hAnsi="宋体"/>
                <w:szCs w:val="21"/>
                <w:highlight w:val="none"/>
              </w:rPr>
              <w:t>（</w:t>
            </w:r>
            <w:r>
              <w:rPr>
                <w:rFonts w:hint="eastAsia" w:ascii="宋体" w:hAnsi="宋体"/>
                <w:szCs w:val="21"/>
                <w:highlight w:val="none"/>
                <w:lang w:val="en-US" w:eastAsia="zh-CN"/>
              </w:rPr>
              <w:t>由甲方</w:t>
            </w:r>
            <w:r>
              <w:rPr>
                <w:rFonts w:hint="eastAsia" w:ascii="宋体" w:hAnsi="宋体"/>
                <w:szCs w:val="21"/>
                <w:highlight w:val="none"/>
              </w:rPr>
              <w:t>提供</w:t>
            </w:r>
            <w:r>
              <w:rPr>
                <w:rFonts w:hint="eastAsia" w:ascii="宋体" w:hAnsi="宋体"/>
                <w:szCs w:val="21"/>
                <w:highlight w:val="none"/>
                <w:lang w:val="en-US" w:eastAsia="zh-CN"/>
              </w:rPr>
              <w:t>和管理</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highlight w:val="none"/>
              </w:rPr>
            </w:pPr>
            <w:r>
              <w:rPr>
                <w:rFonts w:hint="eastAsia" w:ascii="宋体"/>
                <w:color w:val="000000"/>
                <w:sz w:val="20"/>
                <w:szCs w:val="20"/>
                <w:highlight w:val="none"/>
              </w:rPr>
              <w:t>检测设备是否满足要求</w:t>
            </w:r>
            <w:r>
              <w:rPr>
                <w:rFonts w:hint="eastAsia" w:ascii="宋体"/>
                <w:color w:val="000000"/>
                <w:sz w:val="20"/>
                <w:szCs w:val="20"/>
                <w:highlight w:val="none"/>
                <w:lang w:eastAsia="zh-CN"/>
              </w:rPr>
              <w:t>■</w:t>
            </w:r>
            <w:r>
              <w:rPr>
                <w:rFonts w:hint="eastAsia" w:asci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eastAsia="zh-CN"/>
              </w:rPr>
            </w:pPr>
            <w:r>
              <w:rPr>
                <w:rFonts w:hint="eastAsia" w:ascii="宋体"/>
                <w:color w:val="000000"/>
                <w:sz w:val="20"/>
                <w:szCs w:val="20"/>
                <w:lang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宋体"/>
                <w:sz w:val="20"/>
                <w:szCs w:val="20"/>
              </w:rPr>
              <w:t>潜在火灾、固废排放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sz w:val="20"/>
                <w:szCs w:val="20"/>
              </w:rPr>
              <w:t>有（1）危险源和环境因素识别与评价管理制度；（2）环境和职业健康安全运行管理制度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针对重要环境因素是否明确了监视和测量的要求：</w:t>
            </w:r>
            <w:r>
              <w:rPr>
                <w:rFonts w:hint="eastAsia" w:ascii="宋体"/>
                <w:color w:val="000000"/>
                <w:sz w:val="20"/>
                <w:szCs w:val="20"/>
                <w:lang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黑体" w:hAnsi="黑体" w:eastAsia="黑体" w:cs="黑体"/>
                <w:color w:val="000000"/>
                <w:spacing w:val="-10"/>
                <w:sz w:val="20"/>
                <w:szCs w:val="20"/>
              </w:rPr>
              <w:t>■</w:t>
            </w:r>
            <w:r>
              <w:rPr>
                <w:rFonts w:hint="eastAsia" w:ascii="宋体"/>
                <w:color w:val="000000"/>
                <w:sz w:val="20"/>
                <w:szCs w:val="20"/>
              </w:rPr>
              <w:t>是□否，识别是否充分</w:t>
            </w:r>
            <w:r>
              <w:rPr>
                <w:rFonts w:hint="eastAsia" w:ascii="黑体" w:hAnsi="黑体" w:eastAsia="黑体" w:cs="黑体"/>
                <w:color w:val="000000"/>
                <w:spacing w:val="-1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黑体" w:hAnsi="黑体" w:eastAsia="黑体" w:cs="黑体"/>
                <w:color w:val="000000"/>
                <w:spacing w:val="-10"/>
                <w:sz w:val="20"/>
                <w:szCs w:val="20"/>
              </w:rPr>
              <w:t>■</w:t>
            </w:r>
            <w:r>
              <w:rPr>
                <w:rFonts w:hint="eastAsia" w:ascii="宋体"/>
                <w:color w:val="000000"/>
                <w:sz w:val="20"/>
                <w:szCs w:val="20"/>
              </w:rPr>
              <w:t>是</w:t>
            </w:r>
            <w:r>
              <w:rPr>
                <w:rFonts w:hint="eastAsia" w:ascii="宋体"/>
                <w:color w:val="000000"/>
                <w:sz w:val="20"/>
                <w:szCs w:val="20"/>
                <w:lang w:eastAsia="zh-CN"/>
              </w:rPr>
              <w:t>□</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黑体" w:hAnsi="黑体" w:eastAsia="黑体" w:cs="黑体"/>
                <w:color w:val="000000"/>
                <w:spacing w:val="-10"/>
                <w:sz w:val="20"/>
                <w:szCs w:val="20"/>
              </w:rPr>
              <w:t>■</w:t>
            </w:r>
            <w:r>
              <w:rPr>
                <w:rFonts w:hint="eastAsia" w:ascii="宋体"/>
                <w:color w:val="000000"/>
                <w:sz w:val="20"/>
                <w:szCs w:val="20"/>
              </w:rPr>
              <w:t>是□否</w:t>
            </w:r>
            <w:r>
              <w:rPr>
                <w:rFonts w:hint="eastAsia" w:ascii="黑体" w:hAnsi="黑体" w:eastAsia="黑体" w:cs="黑体"/>
                <w:color w:val="000000"/>
                <w:spacing w:val="-1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r>
              <w:rPr>
                <w:rFonts w:hint="eastAsia" w:ascii="宋体"/>
                <w:sz w:val="20"/>
                <w:szCs w:val="20"/>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不可接受风险有：</w:t>
            </w:r>
            <w:r>
              <w:rPr>
                <w:rFonts w:hint="eastAsia" w:ascii="宋体"/>
                <w:sz w:val="20"/>
                <w:szCs w:val="20"/>
              </w:rPr>
              <w:t>火灾、触电</w:t>
            </w:r>
            <w:r>
              <w:rPr>
                <w:rFonts w:hint="eastAsia" w:ascii="宋体"/>
                <w:sz w:val="20"/>
                <w:szCs w:val="20"/>
                <w:lang w:eastAsia="zh-CN"/>
              </w:rPr>
              <w:t>、</w:t>
            </w:r>
            <w:r>
              <w:rPr>
                <w:rFonts w:hint="eastAsia" w:ascii="宋体" w:hAnsi="宋体"/>
                <w:color w:val="000000" w:themeColor="text1"/>
                <w:szCs w:val="21"/>
                <w:lang w:eastAsia="zh-CN"/>
              </w:rPr>
              <w:t>意外伤害（化学品泄漏造成伤害、有害气体中毒、车辆伤害等）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rFonts w:hint="eastAsia" w:ascii="宋体"/>
                <w:sz w:val="20"/>
                <w:szCs w:val="20"/>
              </w:rPr>
              <w:t>有（1）危险源和环境因素识别与评价管理制度；（2）环境和职业健康安全运行管理制度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针对不可接受风险是否明确了监视和测量的要求：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黑体" w:hAnsi="黑体" w:eastAsia="黑体" w:cs="黑体"/>
                <w:color w:val="000000"/>
                <w:spacing w:val="-10"/>
                <w:sz w:val="20"/>
                <w:szCs w:val="20"/>
              </w:rPr>
              <w:t>■</w:t>
            </w:r>
            <w:r>
              <w:rPr>
                <w:rFonts w:hint="eastAsia" w:ascii="宋体"/>
                <w:color w:val="000000"/>
                <w:sz w:val="20"/>
                <w:szCs w:val="20"/>
              </w:rPr>
              <w:t>是□否，识别是否充分</w:t>
            </w:r>
            <w:r>
              <w:rPr>
                <w:rFonts w:hint="eastAsia" w:ascii="黑体" w:hAnsi="黑体" w:eastAsia="黑体" w:cs="黑体"/>
                <w:color w:val="000000"/>
                <w:spacing w:val="-1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黑体" w:hAnsi="黑体" w:eastAsia="黑体" w:cs="黑体"/>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黑体" w:hAnsi="黑体" w:eastAsia="黑体" w:cs="黑体"/>
                <w:color w:val="000000"/>
                <w:spacing w:val="-10"/>
                <w:sz w:val="20"/>
                <w:szCs w:val="20"/>
              </w:rPr>
              <w:t>■</w:t>
            </w:r>
            <w:r>
              <w:rPr>
                <w:rFonts w:hint="eastAsia" w:ascii="宋体"/>
                <w:color w:val="000000"/>
                <w:sz w:val="20"/>
                <w:szCs w:val="20"/>
              </w:rPr>
              <w:t>是□否</w:t>
            </w:r>
            <w:r>
              <w:rPr>
                <w:rFonts w:hint="eastAsia" w:ascii="黑体" w:hAnsi="黑体" w:eastAsia="黑体" w:cs="黑体"/>
                <w:color w:val="000000"/>
                <w:spacing w:val="-1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5</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黑体" w:hAnsi="黑体" w:eastAsia="黑体" w:cs="黑体"/>
                <w:color w:val="000000"/>
                <w:spacing w:val="-1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综合部、技术部</w:t>
            </w:r>
          </w:p>
          <w:p>
            <w:pPr>
              <w:spacing w:line="360" w:lineRule="auto"/>
              <w:rPr>
                <w:rFonts w:ascii="宋体"/>
                <w:b/>
                <w:color w:val="000000"/>
                <w:sz w:val="20"/>
                <w:szCs w:val="20"/>
              </w:rPr>
            </w:pPr>
            <w:r>
              <w:rPr>
                <w:rFonts w:hint="eastAsia" w:ascii="宋体" w:hAnsi="宋体"/>
                <w:b/>
                <w:color w:val="000000"/>
                <w:sz w:val="20"/>
                <w:szCs w:val="20"/>
              </w:rPr>
              <w:t>重点审核过程：产品和服务的控制、顾客满意；产品和服务放行、不合格产品和服务</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重点审核场所：</w:t>
            </w:r>
            <w:r>
              <w:rPr>
                <w:rFonts w:hint="eastAsia" w:ascii="宋体" w:hAnsi="宋体"/>
                <w:b/>
                <w:color w:val="000000"/>
                <w:sz w:val="20"/>
                <w:szCs w:val="20"/>
                <w:lang w:eastAsia="zh-CN"/>
              </w:rPr>
              <w:t>办公场所，技术服务场所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综合部、技术部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办公场所，技术服务场所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综合部、技术部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办公场所，技术服务场所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建立有《内部审核管理制度》，于2021年4月15日进行了内部审核。</w:t>
            </w:r>
          </w:p>
          <w:p>
            <w:pPr>
              <w:spacing w:line="260" w:lineRule="exact"/>
              <w:rPr>
                <w:rFonts w:ascii="宋体"/>
                <w:b/>
                <w:color w:val="000000"/>
                <w:sz w:val="20"/>
                <w:szCs w:val="20"/>
              </w:rPr>
            </w:pPr>
            <w:r>
              <w:rPr>
                <w:rFonts w:hint="eastAsia"/>
                <w:szCs w:val="21"/>
              </w:rPr>
              <w:t>内部审核组由：组长A：崔军波 组员B：陈水秀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numPr>
                <w:ilvl w:val="0"/>
                <w:numId w:val="0"/>
              </w:numPr>
              <w:spacing w:line="340" w:lineRule="exact"/>
              <w:rPr>
                <w:rFonts w:ascii="仿宋" w:hAnsi="仿宋" w:eastAsia="仿宋"/>
                <w:sz w:val="24"/>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spacing w:line="260" w:lineRule="exact"/>
              <w:rPr>
                <w:rFonts w:ascii="宋体"/>
                <w:b/>
                <w:color w:val="000000"/>
                <w:sz w:val="20"/>
                <w:szCs w:val="20"/>
              </w:rPr>
            </w:pPr>
            <w:r>
              <w:rPr>
                <w:rFonts w:hint="eastAsia" w:ascii="仿宋" w:hAnsi="仿宋" w:eastAsia="仿宋"/>
                <w:sz w:val="24"/>
                <w:lang w:eastAsia="zh-CN"/>
              </w:rPr>
              <w:t>（</w:t>
            </w:r>
            <w:r>
              <w:rPr>
                <w:rFonts w:hint="eastAsia" w:ascii="仿宋" w:hAnsi="仿宋" w:eastAsia="仿宋"/>
                <w:sz w:val="24"/>
                <w:lang w:val="en-US" w:eastAsia="zh-CN"/>
              </w:rPr>
              <w:t>2</w:t>
            </w:r>
            <w:r>
              <w:rPr>
                <w:rFonts w:hint="eastAsia" w:ascii="仿宋" w:hAnsi="仿宋" w:eastAsia="仿宋"/>
                <w:sz w:val="24"/>
                <w:lang w:eastAsia="zh-CN"/>
              </w:rPr>
              <w:t>）</w:t>
            </w:r>
            <w:r>
              <w:rPr>
                <w:rFonts w:ascii="仿宋" w:hAnsi="仿宋" w:eastAsia="仿宋"/>
                <w:sz w:val="24"/>
              </w:rPr>
              <w:t>审核准则：</w:t>
            </w:r>
            <w:r>
              <w:rPr>
                <w:rFonts w:hint="eastAsia" w:ascii="仿宋" w:hAnsi="仿宋" w:eastAsia="仿宋"/>
                <w:sz w:val="24"/>
              </w:rPr>
              <w:t>a.</w:t>
            </w:r>
            <w:r>
              <w:rPr>
                <w:rFonts w:hint="eastAsia" w:ascii="宋体" w:hAnsi="宋体"/>
              </w:rPr>
              <w:t>GB/T 19001:2016</w:t>
            </w:r>
            <w:r>
              <w:rPr>
                <w:rFonts w:hint="eastAsia" w:ascii="仿宋" w:hAnsi="仿宋" w:eastAsia="仿宋"/>
                <w:sz w:val="24"/>
              </w:rPr>
              <w:t>、</w:t>
            </w:r>
            <w:r>
              <w:rPr>
                <w:rFonts w:hint="eastAsia" w:ascii="宋体" w:hAnsi="宋体"/>
              </w:rPr>
              <w:t>GB/T 24001-2016</w:t>
            </w:r>
            <w:r>
              <w:rPr>
                <w:rFonts w:hint="eastAsia" w:ascii="仿宋" w:hAnsi="仿宋" w:eastAsia="仿宋"/>
                <w:sz w:val="24"/>
              </w:rPr>
              <w:t>、</w:t>
            </w:r>
            <w:r>
              <w:rPr>
                <w:rFonts w:hint="eastAsia" w:ascii="宋体" w:hAnsi="宋体"/>
              </w:rPr>
              <w:t xml:space="preserve">GB/T </w:t>
            </w:r>
            <w:r>
              <w:rPr>
                <w:rFonts w:hint="eastAsia" w:ascii="宋体" w:hAnsi="宋体"/>
                <w:lang w:val="en-US" w:eastAsia="zh-CN"/>
              </w:rPr>
              <w:t>45</w:t>
            </w:r>
            <w:r>
              <w:rPr>
                <w:rFonts w:hint="eastAsia" w:ascii="宋体" w:hAnsi="宋体"/>
              </w:rPr>
              <w:t>001-20</w:t>
            </w:r>
            <w:r>
              <w:rPr>
                <w:rFonts w:hint="eastAsia" w:ascii="宋体" w:hAnsi="宋体"/>
                <w:lang w:val="en-US" w:eastAsia="zh-CN"/>
              </w:rPr>
              <w:t>20</w:t>
            </w:r>
            <w:r>
              <w:rPr>
                <w:rFonts w:hint="eastAsia" w:ascii="仿宋" w:hAnsi="仿宋" w:eastAsia="仿宋"/>
                <w:sz w:val="24"/>
              </w:rPr>
              <w:t>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40" w:lineRule="auto"/>
              <w:rPr>
                <w:rFonts w:hint="eastAsia" w:ascii="宋体" w:hAnsi="宋体"/>
                <w:b/>
                <w:color w:val="000000"/>
                <w:sz w:val="20"/>
                <w:szCs w:val="20"/>
              </w:rPr>
            </w:pPr>
            <w:r>
              <w:rPr>
                <w:rFonts w:hint="eastAsia" w:ascii="宋体" w:hAnsi="宋体"/>
                <w:b/>
                <w:color w:val="000000"/>
                <w:sz w:val="20"/>
                <w:szCs w:val="20"/>
              </w:rPr>
              <w:t>了解内审结论是什么？</w:t>
            </w:r>
          </w:p>
          <w:p>
            <w:pPr>
              <w:spacing w:line="240" w:lineRule="auto"/>
              <w:rPr>
                <w:rFonts w:hint="eastAsia" w:ascii="Times New Roman" w:hAnsi="Times New Roman" w:cs="Times New Roman"/>
                <w:szCs w:val="21"/>
              </w:rPr>
            </w:pPr>
            <w:r>
              <w:rPr>
                <w:rFonts w:hint="eastAsia" w:ascii="Times New Roman" w:hAnsi="Times New Roman" w:cs="Times New Roman"/>
                <w:szCs w:val="21"/>
              </w:rPr>
              <w:t>本次内审对标准体系文件管理手册、体系文件进行了全面检查，通过审核可以看出管理体系已基本进入了正常状态，但仍存在一些问题，需要完善加强各类人员的培训。</w:t>
            </w:r>
          </w:p>
          <w:p>
            <w:pPr>
              <w:spacing w:line="240" w:lineRule="auto"/>
              <w:rPr>
                <w:rFonts w:hint="eastAsia" w:ascii="Times New Roman" w:hAnsi="Times New Roman" w:cs="Times New Roman"/>
                <w:szCs w:val="21"/>
              </w:rPr>
            </w:pPr>
            <w:r>
              <w:rPr>
                <w:rFonts w:hint="eastAsia" w:ascii="Times New Roman" w:hAnsi="Times New Roman" w:cs="Times New Roman"/>
                <w:szCs w:val="21"/>
              </w:rPr>
              <w:t>各部门需要对内审开出的不符合项报告认真整改，并做到举一反三，以点带面，通过纠正预防措施的执行，使管理体系正常而有效运行。</w:t>
            </w:r>
          </w:p>
          <w:p>
            <w:pPr>
              <w:spacing w:line="260" w:lineRule="exact"/>
              <w:rPr>
                <w:rFonts w:ascii="宋体"/>
                <w:b/>
                <w:color w:val="000000"/>
                <w:sz w:val="20"/>
                <w:szCs w:val="20"/>
              </w:rPr>
            </w:pPr>
            <w:r>
              <w:rPr>
                <w:rFonts w:hint="eastAsia" w:ascii="Times New Roman" w:hAnsi="Times New Roman" w:cs="Times New Roman"/>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szCs w:val="21"/>
              </w:rPr>
              <w:t>建立有《管理评审制度》，于2021年5月18日就管理方针和目标，评价和审定管理体系运行的适宜性、充分性和有效性进行了评审。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w:t>
            </w:r>
            <w:r>
              <w:rPr>
                <w:rFonts w:hint="eastAsia"/>
                <w:szCs w:val="21"/>
              </w:rPr>
              <w:t>本公司的管理体系与标准的要求一致，体系策划是充分的，体系文件与公司目前的现状相一致，是适宜，体系经过现阶段的运行是有效的。</w:t>
            </w: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default"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作好准备</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黑体" w:hAnsi="黑体" w:eastAsia="黑体" w:cs="黑体"/>
                <w:color w:val="000000"/>
                <w:spacing w:val="-10"/>
                <w:sz w:val="20"/>
                <w:szCs w:val="20"/>
              </w:rPr>
              <w:t>■</w:t>
            </w:r>
            <w:r>
              <w:rPr>
                <w:rFonts w:ascii="宋体" w:hAnsi="宋体"/>
                <w:b/>
                <w:color w:val="000000"/>
                <w:sz w:val="20"/>
                <w:szCs w:val="20"/>
              </w:rPr>
              <w:t>QMS /</w:t>
            </w:r>
            <w:r>
              <w:rPr>
                <w:rFonts w:hint="eastAsia" w:ascii="黑体" w:hAnsi="黑体" w:eastAsia="黑体" w:cs="黑体"/>
                <w:color w:val="000000"/>
                <w:spacing w:val="-10"/>
                <w:sz w:val="20"/>
                <w:szCs w:val="20"/>
              </w:rPr>
              <w:t>■</w:t>
            </w:r>
            <w:r>
              <w:rPr>
                <w:rFonts w:ascii="宋体" w:hAnsi="宋体"/>
                <w:b/>
                <w:color w:val="000000"/>
                <w:sz w:val="20"/>
                <w:szCs w:val="20"/>
              </w:rPr>
              <w:t>EMS/</w:t>
            </w:r>
            <w:r>
              <w:rPr>
                <w:rFonts w:hint="eastAsia" w:ascii="黑体" w:hAnsi="黑体" w:eastAsia="黑体" w:cs="黑体"/>
                <w:color w:val="000000"/>
                <w:spacing w:val="-1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黑体" w:hAnsi="黑体" w:eastAsia="黑体" w:cs="黑体"/>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180" w:firstLineChars="100"/>
        <w:rPr>
          <w:rFonts w:ascii="宋体"/>
          <w:b/>
          <w:color w:val="000000"/>
          <w:sz w:val="20"/>
          <w:szCs w:val="20"/>
        </w:rPr>
      </w:pPr>
      <w:r>
        <w:rPr>
          <w:rFonts w:hint="eastAsia" w:ascii="黑体" w:hAnsi="黑体" w:eastAsia="黑体" w:cs="黑体"/>
          <w:color w:val="000000"/>
          <w:spacing w:val="-1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w:t>
      </w:r>
      <w:r>
        <w:rPr>
          <w:rFonts w:hint="eastAsia" w:ascii="宋体" w:hAnsi="宋体"/>
          <w:b/>
          <w:color w:val="000000"/>
          <w:sz w:val="20"/>
          <w:szCs w:val="20"/>
          <w:u w:val="single"/>
        </w:rPr>
        <w:t>污水处理技术服务，专用化学产品销售（不含危险化学品）</w:t>
      </w:r>
      <w:r>
        <w:rPr>
          <w:rFonts w:ascii="宋体" w:hAnsi="宋体"/>
          <w:b/>
          <w:color w:val="000000"/>
          <w:sz w:val="20"/>
          <w:szCs w:val="20"/>
        </w:rPr>
        <w:t>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w:t>
      </w:r>
      <w:r>
        <w:rPr>
          <w:rFonts w:hint="eastAsia" w:ascii="宋体" w:hAnsi="宋体"/>
          <w:b/>
          <w:color w:val="000000"/>
          <w:sz w:val="20"/>
          <w:szCs w:val="20"/>
          <w:u w:val="single"/>
        </w:rPr>
        <w:t>污水处理技术服务，专用化学产品销售（不含危险化学品）所涉及的相关环境管理活动</w:t>
      </w:r>
      <w:r>
        <w:rPr>
          <w:rFonts w:ascii="宋体" w:hAnsi="宋体"/>
          <w:b/>
          <w:color w:val="000000"/>
          <w:sz w:val="20"/>
          <w:szCs w:val="20"/>
          <w:u w:val="single"/>
        </w:rPr>
        <w:t>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u w:val="single"/>
        </w:rPr>
        <w:t>_</w:t>
      </w:r>
      <w:r>
        <w:rPr>
          <w:rFonts w:hint="eastAsia" w:ascii="宋体" w:hAnsi="宋体"/>
          <w:b/>
          <w:color w:val="000000"/>
          <w:sz w:val="20"/>
          <w:szCs w:val="20"/>
          <w:u w:val="single"/>
        </w:rPr>
        <w:t>污水处理技术服务，专用化学产品销售（不含危险化学品）所涉及的相关职业健康安全管理活动</w:t>
      </w:r>
      <w:r>
        <w:rPr>
          <w:rFonts w:ascii="宋体" w:hAnsi="宋体"/>
          <w:b/>
          <w:color w:val="000000"/>
          <w:sz w:val="20"/>
          <w:szCs w:val="20"/>
          <w:u w:val="single"/>
        </w:rPr>
        <w:t>__</w:t>
      </w:r>
    </w:p>
    <w:p>
      <w:pPr>
        <w:spacing w:before="156" w:beforeLines="50" w:after="62"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1312" behindDoc="0" locked="0" layoutInCell="1" allowOverlap="1">
            <wp:simplePos x="0" y="0"/>
            <wp:positionH relativeFrom="column">
              <wp:posOffset>1853565</wp:posOffset>
            </wp:positionH>
            <wp:positionV relativeFrom="paragraph">
              <wp:posOffset>330835</wp:posOffset>
            </wp:positionV>
            <wp:extent cx="643890" cy="403225"/>
            <wp:effectExtent l="0" t="0" r="11430" b="8255"/>
            <wp:wrapNone/>
            <wp:docPr id="13" name="图片 1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Desktop\新文档 2020-01-09 10.59.53_副本.jpg"/>
                    <pic:cNvPicPr>
                      <a:picLocks noChangeAspect="1" noChangeArrowheads="1"/>
                    </pic:cNvPicPr>
                  </pic:nvPicPr>
                  <pic:blipFill>
                    <a:blip r:embed="rId6" cstate="print"/>
                    <a:srcRect/>
                    <a:stretch>
                      <a:fillRect/>
                    </a:stretch>
                  </pic:blipFill>
                  <pic:spPr>
                    <a:xfrm>
                      <a:off x="0" y="0"/>
                      <a:ext cx="643890" cy="403225"/>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0" w:firstLineChars="400"/>
        <w:rPr>
          <w:rFonts w:ascii="宋体"/>
          <w:b/>
          <w:color w:val="000000"/>
        </w:rPr>
      </w:pPr>
      <w:r>
        <w:rPr>
          <w:sz w:val="22"/>
          <w:szCs w:val="22"/>
        </w:rPr>
        <w:drawing>
          <wp:anchor distT="0" distB="0" distL="114300" distR="114300" simplePos="0" relativeHeight="251662336" behindDoc="0" locked="0" layoutInCell="1" allowOverlap="1">
            <wp:simplePos x="0" y="0"/>
            <wp:positionH relativeFrom="column">
              <wp:posOffset>1867535</wp:posOffset>
            </wp:positionH>
            <wp:positionV relativeFrom="paragraph">
              <wp:posOffset>94615</wp:posOffset>
            </wp:positionV>
            <wp:extent cx="513715" cy="336550"/>
            <wp:effectExtent l="0" t="0" r="4445" b="13970"/>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7"/>
                    <a:stretch>
                      <a:fillRect/>
                    </a:stretch>
                  </pic:blipFill>
                  <pic:spPr>
                    <a:xfrm>
                      <a:off x="0" y="0"/>
                      <a:ext cx="513715" cy="336550"/>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2021.7.5</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 w:val="24"/>
          <w:szCs w:val="24"/>
        </w:rPr>
        <w:t>四川苏鲁锭科技有限公司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eastAsia="zh-CN"/>
              </w:rPr>
            </w:pPr>
            <w:r>
              <w:rPr>
                <w:rFonts w:hint="eastAsia"/>
                <w:color w:val="000000"/>
                <w:sz w:val="24"/>
                <w:szCs w:val="24"/>
                <w:lang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ascii="黑体" w:hAnsi="黑体" w:eastAsia="黑体" w:cs="黑体"/>
                <w:b/>
                <w:color w:val="000000"/>
                <w:spacing w:val="-10"/>
                <w:szCs w:val="21"/>
              </w:rPr>
              <w:t>■</w:t>
            </w: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rPr>
                <w:rFonts w:hint="eastAsia"/>
                <w:b/>
                <w:sz w:val="22"/>
                <w:szCs w:val="22"/>
              </w:rPr>
              <w:drawing>
                <wp:anchor distT="0" distB="0" distL="114300" distR="114300" simplePos="0" relativeHeight="251663360" behindDoc="0" locked="0" layoutInCell="1" allowOverlap="1">
                  <wp:simplePos x="0" y="0"/>
                  <wp:positionH relativeFrom="column">
                    <wp:posOffset>626110</wp:posOffset>
                  </wp:positionH>
                  <wp:positionV relativeFrom="paragraph">
                    <wp:posOffset>6985</wp:posOffset>
                  </wp:positionV>
                  <wp:extent cx="684530" cy="428625"/>
                  <wp:effectExtent l="0" t="0" r="1270" b="1333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a:stretch>
                            <a:fillRect/>
                          </a:stretch>
                        </pic:blipFill>
                        <pic:spPr>
                          <a:xfrm>
                            <a:off x="0" y="0"/>
                            <a:ext cx="684530" cy="428625"/>
                          </a:xfrm>
                          <a:prstGeom prst="rect">
                            <a:avLst/>
                          </a:prstGeom>
                          <a:noFill/>
                          <a:ln w="9525">
                            <a:noFill/>
                            <a:miter lim="800000"/>
                            <a:headEnd/>
                            <a:tailEnd/>
                          </a:ln>
                        </pic:spPr>
                      </pic:pic>
                    </a:graphicData>
                  </a:graphic>
                </wp:anchor>
              </w:drawing>
            </w:r>
          </w:p>
          <w:p>
            <w:pPr>
              <w:spacing w:line="280" w:lineRule="exact"/>
              <w:rPr>
                <w:b/>
                <w:color w:val="000000"/>
                <w:sz w:val="22"/>
                <w:szCs w:val="22"/>
              </w:rPr>
            </w:pPr>
            <w:r>
              <w:rPr>
                <w:rFonts w:hint="eastAsia"/>
                <w:b/>
                <w:color w:val="000000"/>
                <w:sz w:val="22"/>
                <w:szCs w:val="22"/>
              </w:rPr>
              <w:t>审核员：</w:t>
            </w:r>
          </w:p>
          <w:p>
            <w:pPr>
              <w:spacing w:line="280" w:lineRule="exact"/>
              <w:ind w:firstLine="3092" w:firstLineChars="1400"/>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7</w:t>
            </w:r>
            <w:r>
              <w:rPr>
                <w:rFonts w:hint="eastAsia"/>
                <w:b/>
                <w:color w:val="000000"/>
                <w:sz w:val="22"/>
                <w:szCs w:val="22"/>
              </w:rPr>
              <w:t>月</w:t>
            </w:r>
            <w:r>
              <w:rPr>
                <w:rFonts w:hint="eastAsia"/>
                <w:b/>
                <w:color w:val="000000"/>
                <w:sz w:val="22"/>
                <w:szCs w:val="22"/>
                <w:lang w:val="en-US" w:eastAsia="zh-CN"/>
              </w:rPr>
              <w:t>5</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bookmarkStart w:id="24" w:name="_GoBack"/>
            <w:bookmarkEnd w:id="24"/>
            <w:r>
              <w:rPr>
                <w:rFonts w:hint="eastAsia"/>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7</w:t>
            </w:r>
            <w:r>
              <w:rPr>
                <w:rFonts w:hint="eastAsia"/>
                <w:b/>
                <w:color w:val="000000"/>
                <w:sz w:val="22"/>
                <w:szCs w:val="22"/>
              </w:rPr>
              <w:t>月</w:t>
            </w:r>
            <w:r>
              <w:rPr>
                <w:rFonts w:hint="eastAsia"/>
                <w:b/>
                <w:color w:val="000000"/>
                <w:sz w:val="22"/>
                <w:szCs w:val="22"/>
                <w:lang w:val="en-US" w:eastAsia="zh-CN"/>
              </w:rPr>
              <w:t>5</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ascii="黑体" w:hAnsi="黑体" w:eastAsia="黑体" w:cs="黑体"/>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r>
              <w:rPr>
                <w:rFonts w:hint="eastAsia"/>
                <w:b/>
                <w:sz w:val="22"/>
                <w:szCs w:val="22"/>
              </w:rPr>
              <w:drawing>
                <wp:anchor distT="0" distB="0" distL="114300" distR="114300" simplePos="0" relativeHeight="251664384" behindDoc="0" locked="0" layoutInCell="1" allowOverlap="1">
                  <wp:simplePos x="0" y="0"/>
                  <wp:positionH relativeFrom="column">
                    <wp:posOffset>567055</wp:posOffset>
                  </wp:positionH>
                  <wp:positionV relativeFrom="paragraph">
                    <wp:posOffset>13970</wp:posOffset>
                  </wp:positionV>
                  <wp:extent cx="527050" cy="330200"/>
                  <wp:effectExtent l="0" t="0" r="6350" b="5080"/>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6" cstate="print"/>
                          <a:srcRect/>
                          <a:stretch>
                            <a:fillRect/>
                          </a:stretch>
                        </pic:blipFill>
                        <pic:spPr>
                          <a:xfrm>
                            <a:off x="0" y="0"/>
                            <a:ext cx="527050" cy="330200"/>
                          </a:xfrm>
                          <a:prstGeom prst="rect">
                            <a:avLst/>
                          </a:prstGeom>
                          <a:noFill/>
                          <a:ln w="9525">
                            <a:noFill/>
                            <a:miter lim="800000"/>
                            <a:headEnd/>
                            <a:tailEnd/>
                          </a:ln>
                        </pic:spPr>
                      </pic:pic>
                    </a:graphicData>
                  </a:graphic>
                </wp:anchor>
              </w:drawing>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7</w:t>
            </w:r>
            <w:r>
              <w:rPr>
                <w:rFonts w:hint="eastAsia"/>
                <w:b/>
                <w:color w:val="000000"/>
                <w:sz w:val="22"/>
                <w:szCs w:val="22"/>
              </w:rPr>
              <w:t>月</w:t>
            </w:r>
            <w:r>
              <w:rPr>
                <w:rFonts w:hint="eastAsia"/>
                <w:b/>
                <w:color w:val="000000"/>
                <w:sz w:val="22"/>
                <w:szCs w:val="22"/>
                <w:lang w:val="en-US" w:eastAsia="zh-CN"/>
              </w:rPr>
              <w:t>5</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0205D8"/>
    <w:rsid w:val="00BB023A"/>
    <w:rsid w:val="019E5969"/>
    <w:rsid w:val="01E2468A"/>
    <w:rsid w:val="02832CDC"/>
    <w:rsid w:val="032A63CB"/>
    <w:rsid w:val="051E69BF"/>
    <w:rsid w:val="0546514D"/>
    <w:rsid w:val="05D726DD"/>
    <w:rsid w:val="061E5F0F"/>
    <w:rsid w:val="069D7576"/>
    <w:rsid w:val="075E13B2"/>
    <w:rsid w:val="09143F3F"/>
    <w:rsid w:val="09737E1F"/>
    <w:rsid w:val="0A397538"/>
    <w:rsid w:val="0AA92B3A"/>
    <w:rsid w:val="0B5A7478"/>
    <w:rsid w:val="0B713B18"/>
    <w:rsid w:val="0B7C3F55"/>
    <w:rsid w:val="0C5D6F98"/>
    <w:rsid w:val="0CB50BC0"/>
    <w:rsid w:val="0DC644AF"/>
    <w:rsid w:val="0E1F3018"/>
    <w:rsid w:val="0FA72D44"/>
    <w:rsid w:val="0FFD134F"/>
    <w:rsid w:val="10765569"/>
    <w:rsid w:val="10CF3977"/>
    <w:rsid w:val="10E25B16"/>
    <w:rsid w:val="126D2CCF"/>
    <w:rsid w:val="1289295F"/>
    <w:rsid w:val="1587756A"/>
    <w:rsid w:val="15984014"/>
    <w:rsid w:val="162025D5"/>
    <w:rsid w:val="16B5743D"/>
    <w:rsid w:val="16EC683C"/>
    <w:rsid w:val="16F478F0"/>
    <w:rsid w:val="1726437F"/>
    <w:rsid w:val="18671B7E"/>
    <w:rsid w:val="188B655F"/>
    <w:rsid w:val="19670C25"/>
    <w:rsid w:val="19B86A5A"/>
    <w:rsid w:val="19EB5723"/>
    <w:rsid w:val="19F66A10"/>
    <w:rsid w:val="1AC90FC8"/>
    <w:rsid w:val="1AE96D40"/>
    <w:rsid w:val="1B3D50D8"/>
    <w:rsid w:val="1CAB5290"/>
    <w:rsid w:val="1D4E0AA5"/>
    <w:rsid w:val="1D8D4426"/>
    <w:rsid w:val="1E313EFF"/>
    <w:rsid w:val="1E710B4C"/>
    <w:rsid w:val="1FD50E94"/>
    <w:rsid w:val="20157E96"/>
    <w:rsid w:val="209F6294"/>
    <w:rsid w:val="213D314A"/>
    <w:rsid w:val="2268448C"/>
    <w:rsid w:val="22A2306F"/>
    <w:rsid w:val="22E5256D"/>
    <w:rsid w:val="232A10B8"/>
    <w:rsid w:val="23D4659F"/>
    <w:rsid w:val="27344A2D"/>
    <w:rsid w:val="274173EC"/>
    <w:rsid w:val="27CC3723"/>
    <w:rsid w:val="27FF42E2"/>
    <w:rsid w:val="2A5A662D"/>
    <w:rsid w:val="2AEC666C"/>
    <w:rsid w:val="2AF10776"/>
    <w:rsid w:val="2AF96830"/>
    <w:rsid w:val="2C441DAE"/>
    <w:rsid w:val="2E8A03C2"/>
    <w:rsid w:val="2F5E42D6"/>
    <w:rsid w:val="307053A4"/>
    <w:rsid w:val="32E03643"/>
    <w:rsid w:val="34815458"/>
    <w:rsid w:val="34A4225C"/>
    <w:rsid w:val="37C75CC4"/>
    <w:rsid w:val="37D54E15"/>
    <w:rsid w:val="39B77964"/>
    <w:rsid w:val="3A0D6E4E"/>
    <w:rsid w:val="3B143FCB"/>
    <w:rsid w:val="3BC95D00"/>
    <w:rsid w:val="3C7F2C53"/>
    <w:rsid w:val="3DA00362"/>
    <w:rsid w:val="3EB612C3"/>
    <w:rsid w:val="4185538B"/>
    <w:rsid w:val="482F71D5"/>
    <w:rsid w:val="48B946A0"/>
    <w:rsid w:val="497D4E75"/>
    <w:rsid w:val="498412E9"/>
    <w:rsid w:val="4B9A6C89"/>
    <w:rsid w:val="4D5D5CC1"/>
    <w:rsid w:val="4F1F4B39"/>
    <w:rsid w:val="50FC059D"/>
    <w:rsid w:val="51385156"/>
    <w:rsid w:val="51571FA9"/>
    <w:rsid w:val="51900AFD"/>
    <w:rsid w:val="54566C24"/>
    <w:rsid w:val="54815B08"/>
    <w:rsid w:val="550615F6"/>
    <w:rsid w:val="55914899"/>
    <w:rsid w:val="599966AF"/>
    <w:rsid w:val="59BF19A4"/>
    <w:rsid w:val="59C935F3"/>
    <w:rsid w:val="5A895226"/>
    <w:rsid w:val="5CBA326E"/>
    <w:rsid w:val="5E363903"/>
    <w:rsid w:val="5E5E39B4"/>
    <w:rsid w:val="607D0E6A"/>
    <w:rsid w:val="60A61731"/>
    <w:rsid w:val="60A970CB"/>
    <w:rsid w:val="639849CA"/>
    <w:rsid w:val="649E37CA"/>
    <w:rsid w:val="65C82C96"/>
    <w:rsid w:val="668F0E14"/>
    <w:rsid w:val="66F31B7E"/>
    <w:rsid w:val="676A3712"/>
    <w:rsid w:val="689900B7"/>
    <w:rsid w:val="690918ED"/>
    <w:rsid w:val="69A31295"/>
    <w:rsid w:val="6A652A38"/>
    <w:rsid w:val="6D89533C"/>
    <w:rsid w:val="6F222800"/>
    <w:rsid w:val="6F3334D9"/>
    <w:rsid w:val="6FC84017"/>
    <w:rsid w:val="70FA5AB9"/>
    <w:rsid w:val="70FD7121"/>
    <w:rsid w:val="72587889"/>
    <w:rsid w:val="73101E7C"/>
    <w:rsid w:val="7679342D"/>
    <w:rsid w:val="76887A78"/>
    <w:rsid w:val="76D144FC"/>
    <w:rsid w:val="77205D62"/>
    <w:rsid w:val="792E163B"/>
    <w:rsid w:val="796D73E4"/>
    <w:rsid w:val="7D62081A"/>
    <w:rsid w:val="7E702B38"/>
    <w:rsid w:val="7E921B3E"/>
    <w:rsid w:val="7E9270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2021-07-08T06:30:08Z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586395BEE4F4447AB98AD584009A6C63</vt:lpwstr>
  </property>
</Properties>
</file>