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1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sz w:val="21"/>
                <w:szCs w:val="21"/>
              </w:rPr>
              <w:t>古蔺县飞林商贸有限公司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O：29.07.08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E：29.07.08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客户下单——采购检测合格品入库——分拣出库——装车配送———销售回单—对账回款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控制措施：建有相应的过程作业指导书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重要环境因素：1）潜在火灾爆炸 ；2）固体废弃物排放。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不可接受风险源：1）火灾 ；2）中暑；3）交通事故；4）触电；5）</w:t>
            </w:r>
            <w:r>
              <w:rPr>
                <w:rFonts w:hint="eastAsia" w:ascii="宋体" w:hAnsi="宋体"/>
                <w:b/>
                <w:color w:val="000000"/>
                <w:sz w:val="22"/>
                <w:szCs w:val="22"/>
                <w:lang w:val="en-US" w:eastAsia="zh-CN"/>
              </w:rPr>
              <w:t>食物中毒/疾病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  <w:r>
              <w:rPr>
                <w:rFonts w:hint="eastAsia"/>
                <w:b/>
                <w:sz w:val="20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中华人民共和国环境保护法、中华人民共和国消防法、中华人民共和国固体废物污染环境防治法、预包装食品中的致敏原成分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 23779-2009、食品安全国家标准 预包装食品营养标签通则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28050-2011、运输包装用瓦楞纸箱 单瓦楞纸箱和双瓦楞纸箱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GBT6543-2008、食品企业通用卫生规范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14881-2013、食品安全国家标准 预包装食品标签通则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7718-2011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出具</w:t>
            </w:r>
            <w:r>
              <w:rPr>
                <w:rFonts w:hint="eastAsia"/>
                <w:b/>
                <w:sz w:val="20"/>
              </w:rPr>
              <w:t>有食品检验报告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86995</wp:posOffset>
            </wp:positionV>
            <wp:extent cx="401955" cy="361950"/>
            <wp:effectExtent l="0" t="0" r="4445" b="635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64770</wp:posOffset>
            </wp:positionV>
            <wp:extent cx="401955" cy="361950"/>
            <wp:effectExtent l="0" t="0" r="4445" b="635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2021年7月6日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2021年7月6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D85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2021-07-05T23:30:20Z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19E3A0078826471A96BC6294BEA43337</vt:lpwstr>
  </property>
</Properties>
</file>