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古蔺县会丽姐农业有限公司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E:29.07.08</w:t>
            </w:r>
          </w:p>
          <w:p>
            <w:pPr>
              <w:spacing w:line="240" w:lineRule="exact"/>
              <w:jc w:val="center"/>
              <w:rPr>
                <w:b/>
                <w:color w:val="000000" w:themeColor="text1"/>
                <w:sz w:val="20"/>
                <w:szCs w:val="20"/>
              </w:rPr>
            </w:pPr>
            <w:r>
              <w:rPr>
                <w:b/>
                <w:color w:val="000000" w:themeColor="text1"/>
                <w:sz w:val="20"/>
                <w:szCs w:val="20"/>
              </w:rPr>
              <w:t>O:29.07.08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eastAsia="宋体" w:cs="Times New Roman"/>
                <w:b/>
                <w:color w:val="000000" w:themeColor="text1"/>
                <w:kern w:val="2"/>
                <w:sz w:val="20"/>
                <w:szCs w:val="20"/>
                <w:lang w:val="en-US" w:eastAsia="zh-CN" w:bidi="ar-SA"/>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eastAsia="宋体" w:cs="宋体" w:hAnsiTheme="minorHAnsi"/>
                <w:color w:val="000000" w:themeColor="text1"/>
                <w:kern w:val="0"/>
                <w:sz w:val="20"/>
                <w:szCs w:val="20"/>
                <w:lang w:val="en-US" w:eastAsia="zh-CN" w:bidi="ar-SA"/>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古蔺县会丽姐农业有限公司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四川省泸州市古蔺县二郎镇黄金坝街73号附194号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646523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四川省泸州市古蔺县二郎镇黄金坝街73号附194号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646523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杨捷</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18281135559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杨捷</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hint="eastAsia" w:ascii="宋体" w:hAnsi="宋体"/>
                <w:b/>
                <w:color w:val="000000" w:themeColor="text1"/>
                <w:sz w:val="20"/>
                <w:szCs w:val="20"/>
                <w:lang w:eastAsia="zh-CN"/>
              </w:rPr>
              <w:t>米、食用油、预包装食品（含冷藏冷冻食品）、散装食品（含冷藏冷冻食品）的销售（限许可范围内）</w:t>
            </w:r>
            <w:r>
              <w:rPr>
                <w:rFonts w:ascii="宋体" w:hAnsi="宋体"/>
                <w:b/>
                <w:color w:val="000000" w:themeColor="text1"/>
                <w:sz w:val="20"/>
                <w:szCs w:val="20"/>
              </w:rPr>
              <w:t>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hint="eastAsia" w:ascii="宋体" w:hAnsi="宋体"/>
                <w:b/>
                <w:color w:val="000000" w:themeColor="text1"/>
                <w:sz w:val="20"/>
                <w:szCs w:val="20"/>
                <w:lang w:eastAsia="zh-CN"/>
              </w:rPr>
              <w:t>米、食用油、预包装食品（含冷藏冷冻食品）、散装食品（含冷藏冷冻食品）的销售（限许可范围内）</w:t>
            </w:r>
            <w:r>
              <w:rPr>
                <w:rFonts w:ascii="宋体" w:hAnsi="宋体"/>
                <w:b/>
                <w:color w:val="000000" w:themeColor="text1"/>
                <w:sz w:val="20"/>
                <w:szCs w:val="20"/>
              </w:rPr>
              <w:t>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E：29.07.08</w:t>
            </w:r>
          </w:p>
          <w:p>
            <w:pPr>
              <w:spacing w:line="320" w:lineRule="exact"/>
              <w:rPr>
                <w:rFonts w:ascii="宋体" w:hAnsi="宋体"/>
                <w:b/>
                <w:color w:val="000000" w:themeColor="text1"/>
                <w:sz w:val="20"/>
                <w:szCs w:val="20"/>
              </w:rPr>
            </w:pPr>
            <w:r>
              <w:rPr>
                <w:rFonts w:ascii="宋体" w:hAnsi="宋体"/>
                <w:b/>
                <w:color w:val="000000" w:themeColor="text1"/>
                <w:sz w:val="20"/>
                <w:szCs w:val="20"/>
              </w:rPr>
              <w:t>O：29.07.08</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2021-02-24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采购管理；合同管理；供方管理；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lang w:eastAsia="zh-CN"/>
              </w:rPr>
              <w:t>米、食用油、预包装食品（含冷藏冷冻食品）、散装食品（含冷藏冷冻食品）的销售（限许可范围内）</w:t>
            </w:r>
          </w:p>
        </w:tc>
        <w:tc>
          <w:tcPr>
            <w:tcW w:w="2519" w:type="dxa"/>
          </w:tcPr>
          <w:p>
            <w:pPr>
              <w:rPr>
                <w:b/>
                <w:color w:val="000000" w:themeColor="text1"/>
                <w:sz w:val="20"/>
                <w:szCs w:val="20"/>
              </w:rPr>
            </w:pPr>
          </w:p>
        </w:tc>
        <w:tc>
          <w:tcPr>
            <w:tcW w:w="1843" w:type="dxa"/>
          </w:tcPr>
          <w:p>
            <w:pPr>
              <w:rPr>
                <w:b w:val="0"/>
                <w:bCs/>
                <w:color w:val="000000" w:themeColor="text1"/>
                <w:sz w:val="20"/>
                <w:szCs w:val="20"/>
              </w:rPr>
            </w:pPr>
          </w:p>
        </w:tc>
        <w:tc>
          <w:tcPr>
            <w:tcW w:w="3543" w:type="dxa"/>
          </w:tcPr>
          <w:p>
            <w:pPr>
              <w:rPr>
                <w:b w:val="0"/>
                <w:bCs/>
                <w:color w:val="000000" w:themeColor="text1"/>
                <w:sz w:val="20"/>
                <w:szCs w:val="20"/>
              </w:rPr>
            </w:pPr>
            <w:r>
              <w:rPr>
                <w:rFonts w:hint="eastAsia"/>
                <w:b w:val="0"/>
                <w:bCs/>
                <w:color w:val="000000" w:themeColor="text1"/>
                <w:sz w:val="20"/>
                <w:szCs w:val="20"/>
              </w:rPr>
              <w:t>预包装食品中的致敏原成分</w:t>
            </w:r>
            <w:r>
              <w:rPr>
                <w:rFonts w:hint="eastAsia"/>
                <w:b w:val="0"/>
                <w:bCs/>
                <w:color w:val="000000" w:themeColor="text1"/>
                <w:sz w:val="20"/>
                <w:szCs w:val="20"/>
              </w:rPr>
              <w:tab/>
            </w:r>
            <w:r>
              <w:rPr>
                <w:rFonts w:hint="eastAsia"/>
                <w:b w:val="0"/>
                <w:bCs/>
                <w:color w:val="000000" w:themeColor="text1"/>
                <w:sz w:val="20"/>
                <w:szCs w:val="20"/>
              </w:rPr>
              <w:t>GB/T 23779-2009、食品安全国家标准 预包装食品营养标签通则</w:t>
            </w:r>
            <w:r>
              <w:rPr>
                <w:rFonts w:hint="eastAsia"/>
                <w:b w:val="0"/>
                <w:bCs/>
                <w:color w:val="000000" w:themeColor="text1"/>
                <w:sz w:val="20"/>
                <w:szCs w:val="20"/>
              </w:rPr>
              <w:tab/>
            </w:r>
            <w:r>
              <w:rPr>
                <w:rFonts w:hint="eastAsia"/>
                <w:b w:val="0"/>
                <w:bCs/>
                <w:color w:val="000000" w:themeColor="text1"/>
                <w:sz w:val="20"/>
                <w:szCs w:val="20"/>
              </w:rPr>
              <w:t>GB 28050-2011、运输包装用瓦楞纸箱 单瓦楞纸箱和双瓦楞纸箱</w:t>
            </w:r>
            <w:r>
              <w:rPr>
                <w:rFonts w:hint="eastAsia"/>
                <w:b w:val="0"/>
                <w:bCs/>
                <w:color w:val="000000" w:themeColor="text1"/>
                <w:sz w:val="20"/>
                <w:szCs w:val="20"/>
              </w:rPr>
              <w:tab/>
            </w:r>
            <w:r>
              <w:rPr>
                <w:rFonts w:hint="eastAsia"/>
                <w:b w:val="0"/>
                <w:bCs/>
                <w:color w:val="000000" w:themeColor="text1"/>
                <w:sz w:val="20"/>
                <w:szCs w:val="20"/>
              </w:rPr>
              <w:t>GBT6543-2008、食品企业通用卫生规范</w:t>
            </w:r>
            <w:r>
              <w:rPr>
                <w:rFonts w:hint="eastAsia"/>
                <w:b w:val="0"/>
                <w:bCs/>
                <w:color w:val="000000" w:themeColor="text1"/>
                <w:sz w:val="20"/>
                <w:szCs w:val="20"/>
              </w:rPr>
              <w:tab/>
            </w:r>
            <w:r>
              <w:rPr>
                <w:rFonts w:hint="eastAsia"/>
                <w:b w:val="0"/>
                <w:bCs/>
                <w:color w:val="000000" w:themeColor="text1"/>
                <w:sz w:val="20"/>
                <w:szCs w:val="20"/>
              </w:rPr>
              <w:t>GB 14881-2013、食品安全国家标准 预包装食品标签通则</w:t>
            </w:r>
            <w:r>
              <w:rPr>
                <w:rFonts w:hint="eastAsia"/>
                <w:b w:val="0"/>
                <w:bCs/>
                <w:color w:val="000000" w:themeColor="text1"/>
                <w:sz w:val="20"/>
                <w:szCs w:val="20"/>
              </w:rPr>
              <w:tab/>
            </w:r>
            <w:r>
              <w:rPr>
                <w:rFonts w:hint="eastAsia"/>
                <w:b w:val="0"/>
                <w:bCs/>
                <w:color w:val="000000" w:themeColor="text1"/>
                <w:sz w:val="20"/>
                <w:szCs w:val="20"/>
              </w:rPr>
              <w:t>GB 7718-2011</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24</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组织对内外部因素、相关方需求和期望进行了充分的识别，策划和实施有效。组织确定了体系的边界，基本适用。管理体系条款无不适用条款</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w:t>
            </w:r>
            <w:r>
              <w:rPr>
                <w:rFonts w:hint="eastAsia" w:ascii="宋体" w:hAnsi="宋体"/>
                <w:b/>
                <w:color w:val="000000" w:themeColor="text1"/>
                <w:sz w:val="20"/>
                <w:szCs w:val="20"/>
              </w:rPr>
              <w:t>质量/</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环境/</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宋体" w:hAnsi="宋体" w:eastAsia="宋体" w:cs="宋体"/>
                <w:color w:val="000000"/>
                <w:szCs w:val="21"/>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76" w:lineRule="auto"/>
              <w:rPr>
                <w:rFonts w:hint="eastAsia" w:ascii="宋体" w:hAnsi="宋体" w:eastAsia="宋体" w:cs="宋体"/>
                <w:color w:val="000000"/>
                <w:szCs w:val="21"/>
              </w:rPr>
            </w:pPr>
            <w:r>
              <w:rPr>
                <w:rFonts w:hint="eastAsia" w:ascii="宋体" w:hAnsi="宋体" w:cs="宋体"/>
                <w:szCs w:val="21"/>
              </w:rPr>
              <w:t>质量、环境和职业健康安全方针：</w:t>
            </w:r>
          </w:p>
          <w:p>
            <w:pPr>
              <w:pStyle w:val="3"/>
              <w:rPr>
                <w:rFonts w:hint="eastAsia" w:ascii="宋体" w:hAnsi="宋体" w:cs="宋体"/>
                <w:szCs w:val="21"/>
              </w:rPr>
            </w:pPr>
            <w:r>
              <w:rPr>
                <w:rFonts w:hint="eastAsia" w:ascii="宋体" w:hAnsi="宋体" w:cs="宋体"/>
                <w:szCs w:val="21"/>
              </w:rPr>
              <w:t>以稳定品质、完善服务、持续改进、满足顾客需求；</w:t>
            </w:r>
          </w:p>
          <w:p>
            <w:pPr>
              <w:pStyle w:val="3"/>
              <w:rPr>
                <w:b/>
                <w:color w:val="000000" w:themeColor="text1"/>
              </w:rPr>
            </w:pPr>
            <w:r>
              <w:rPr>
                <w:rFonts w:hint="eastAsia" w:ascii="宋体" w:hAnsi="宋体" w:cs="宋体"/>
                <w:szCs w:val="21"/>
              </w:rPr>
              <w:t>以安全运行、保护环境、守法诚信、体现社会责任。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lang w:val="en-US" w:eastAsia="zh-CN"/>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r>
              <w:rPr>
                <w:rFonts w:hint="eastAsia" w:ascii="宋体" w:hAnsi="宋体"/>
                <w:b/>
                <w:color w:val="000000" w:themeColor="text1"/>
                <w:spacing w:val="-8"/>
                <w:sz w:val="20"/>
                <w:szCs w:val="20"/>
                <w:lang w:val="en-US" w:eastAsia="zh-CN"/>
              </w:rPr>
              <w:t xml:space="preserve">  </w:t>
            </w:r>
          </w:p>
          <w:p>
            <w:pPr>
              <w:spacing w:line="30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hint="eastAsia" w:ascii="宋体" w:hAnsi="宋体" w:eastAsia="宋体"/>
                <w:b/>
                <w:color w:val="000000" w:themeColor="text1"/>
                <w:szCs w:val="21"/>
                <w:u w:val="single"/>
                <w:lang w:eastAsia="zh-CN"/>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Times New Roman" w:hAnsi="Times New Roman" w:eastAsia="宋体" w:cs="Times New Roman"/>
                <w:b/>
                <w:color w:val="000000" w:themeColor="text1"/>
                <w:kern w:val="2"/>
                <w:sz w:val="14"/>
                <w:szCs w:val="14"/>
                <w:lang w:val="en-US" w:eastAsia="zh-CN" w:bidi="ar-SA"/>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76" w:lineRule="auto"/>
              <w:rPr>
                <w:rFonts w:ascii="宋体" w:hAnsi="宋体" w:cs="宋体"/>
                <w:szCs w:val="21"/>
              </w:rPr>
            </w:pPr>
            <w:r>
              <w:rPr>
                <w:rFonts w:hint="eastAsia" w:ascii="宋体" w:hAnsi="宋体" w:cs="宋体"/>
                <w:szCs w:val="21"/>
              </w:rPr>
              <w:t>公司管理目标</w:t>
            </w:r>
          </w:p>
          <w:p>
            <w:pPr>
              <w:spacing w:line="276"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客户满意度≥90分</w:t>
            </w:r>
          </w:p>
          <w:p>
            <w:pPr>
              <w:spacing w:line="276" w:lineRule="auto"/>
              <w:rPr>
                <w:rFonts w:hint="eastAsia" w:ascii="宋体" w:hAnsi="宋体" w:cs="宋体"/>
                <w:szCs w:val="21"/>
              </w:rPr>
            </w:pPr>
            <w:r>
              <w:rPr>
                <w:rFonts w:hint="eastAsia" w:ascii="宋体" w:hAnsi="宋体" w:cs="宋体"/>
                <w:szCs w:val="21"/>
              </w:rPr>
              <w:t>2.固体废弃物分类处理100%</w:t>
            </w:r>
          </w:p>
          <w:p>
            <w:pPr>
              <w:spacing w:line="276" w:lineRule="auto"/>
              <w:rPr>
                <w:rFonts w:hint="eastAsia" w:ascii="宋体" w:hAnsi="宋体" w:cs="宋体"/>
                <w:szCs w:val="21"/>
              </w:rPr>
            </w:pPr>
            <w:r>
              <w:rPr>
                <w:rFonts w:hint="eastAsia" w:ascii="宋体" w:hAnsi="宋体" w:cs="宋体"/>
                <w:szCs w:val="21"/>
              </w:rPr>
              <w:t>3.火灾事故为0</w:t>
            </w:r>
          </w:p>
          <w:p>
            <w:pPr>
              <w:spacing w:line="276" w:lineRule="auto"/>
              <w:rPr>
                <w:rFonts w:ascii="宋体" w:hAnsi="宋体" w:eastAsia="宋体" w:cs="Times New Roman"/>
                <w:b/>
                <w:color w:val="000000" w:themeColor="text1"/>
                <w:kern w:val="2"/>
                <w:sz w:val="21"/>
                <w:szCs w:val="24"/>
                <w:lang w:val="en-US" w:eastAsia="zh-CN" w:bidi="ar-SA"/>
              </w:rPr>
            </w:pPr>
            <w:r>
              <w:rPr>
                <w:rFonts w:hint="eastAsia" w:ascii="宋体" w:hAnsi="宋体" w:cs="宋体"/>
                <w:szCs w:val="21"/>
              </w:rPr>
              <w:t>4.意外事故为0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2</w:t>
            </w:r>
            <w:r>
              <w:rPr>
                <w:rFonts w:hint="eastAsia" w:ascii="宋体" w:hAnsi="宋体" w:cs="宋体"/>
                <w:color w:val="000000" w:themeColor="text1"/>
              </w:rPr>
              <w:t>月</w:t>
            </w:r>
            <w:r>
              <w:rPr>
                <w:rFonts w:hint="eastAsia" w:ascii="宋体" w:hAnsi="宋体" w:cs="宋体"/>
                <w:color w:val="000000" w:themeColor="text1"/>
                <w:lang w:val="en-US" w:eastAsia="zh-CN"/>
              </w:rPr>
              <w:t>24</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bCs/>
                <w:iCs/>
                <w:szCs w:val="22"/>
                <w:lang w:val="en-US" w:eastAsia="zh-CN"/>
              </w:rPr>
              <w:t>销售</w:t>
            </w:r>
            <w:r>
              <w:rPr>
                <w:rFonts w:hint="eastAsia" w:ascii="宋体" w:hAnsi="宋体"/>
                <w:szCs w:val="21"/>
              </w:rPr>
              <w:t>服务的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eastAsia="宋体" w:cs="宋体"/>
                <w:color w:val="000000" w:themeColor="text1"/>
              </w:rPr>
              <w:t>办公场所</w:t>
            </w:r>
            <w:r>
              <w:rPr>
                <w:rFonts w:hint="eastAsia" w:ascii="宋体" w:hAnsi="宋体" w:eastAsia="宋体" w:cs="宋体"/>
                <w:color w:val="000000" w:themeColor="text1"/>
                <w:highlight w:val="none"/>
              </w:rPr>
              <w:t>面积</w:t>
            </w:r>
            <w:r>
              <w:rPr>
                <w:rFonts w:hint="eastAsia" w:ascii="宋体" w:hAnsi="宋体" w:cs="宋体"/>
                <w:color w:val="000000" w:themeColor="text1"/>
                <w:highlight w:val="none"/>
                <w:lang w:val="en-US" w:eastAsia="zh-CN"/>
              </w:rPr>
              <w:t>200</w:t>
            </w:r>
            <w:r>
              <w:rPr>
                <w:rFonts w:hint="eastAsia" w:ascii="宋体" w:hAnsi="宋体" w:eastAsia="宋体" w:cs="宋体"/>
                <w:color w:val="000000" w:themeColor="text1"/>
                <w:highlight w:val="none"/>
              </w:rPr>
              <w:t>平方左右，</w:t>
            </w:r>
            <w:r>
              <w:rPr>
                <w:rFonts w:hint="eastAsia" w:ascii="宋体" w:hAnsi="宋体" w:cs="宋体"/>
                <w:color w:val="000000" w:themeColor="text1"/>
                <w:highlight w:val="none"/>
                <w:lang w:val="en-US" w:eastAsia="zh-CN"/>
              </w:rPr>
              <w:t>冻库面积600平方左右，</w:t>
            </w:r>
            <w:r>
              <w:rPr>
                <w:rFonts w:hint="eastAsia" w:ascii="宋体" w:hAnsi="宋体" w:eastAsia="宋体" w:cs="宋体"/>
                <w:color w:val="000000" w:themeColor="text1"/>
              </w:rPr>
              <w:t>主要设备为办公室设备，可以满足</w:t>
            </w:r>
            <w:r>
              <w:rPr>
                <w:rFonts w:hint="eastAsia" w:ascii="宋体" w:hAnsi="宋体"/>
                <w:szCs w:val="21"/>
                <w:lang w:eastAsia="zh-CN"/>
              </w:rPr>
              <w:t>米、食用油、预包装食品（含冷藏冷冻食品）、散装食品（含冷藏冷冻食品）的销售（限许可范围内）</w:t>
            </w:r>
            <w:r>
              <w:rPr>
                <w:rFonts w:hint="eastAsia" w:ascii="宋体" w:hAnsi="宋体" w:eastAsia="宋体" w:cs="宋体"/>
                <w:color w:val="000000" w:themeColor="text1"/>
              </w:rPr>
              <w:t>的需要。对设备按要求维护保养，并实施。特种设备：无。公司未建立信息管理系统用于生产和服务。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办公场所及办公设备布置合理，通道畅通，照明设施齐全，均配备了消防设施等设施。办公室明亮，场内光线较充足。每月由行政部对工作环境进行定期检查。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default" w:ascii="宋体" w:hAnsi="宋体" w:eastAsia="宋体" w:cs="Times New Roman"/>
                <w:b/>
                <w:color w:val="000000" w:themeColor="text1"/>
                <w:kern w:val="2"/>
                <w:sz w:val="20"/>
                <w:szCs w:val="20"/>
                <w:lang w:val="en-US" w:eastAsia="zh-CN" w:bidi="ar-SA"/>
              </w:rPr>
            </w:pPr>
            <w:r>
              <w:rPr>
                <w:rFonts w:hint="eastAsia" w:ascii="宋体" w:hAnsi="宋体" w:cs="宋体"/>
                <w:szCs w:val="21"/>
                <w:highlight w:val="none"/>
              </w:rPr>
              <w:t>质量检查以</w:t>
            </w:r>
            <w:r>
              <w:rPr>
                <w:rFonts w:hint="eastAsia" w:ascii="宋体" w:hAnsi="宋体" w:cs="宋体"/>
                <w:szCs w:val="21"/>
                <w:highlight w:val="none"/>
                <w:lang w:val="en-US" w:eastAsia="zh-CN"/>
              </w:rPr>
              <w:t>客户验收</w:t>
            </w:r>
            <w:r>
              <w:rPr>
                <w:rFonts w:hint="eastAsia" w:ascii="宋体" w:hAnsi="宋体" w:cs="宋体"/>
                <w:szCs w:val="21"/>
                <w:highlight w:val="none"/>
              </w:rPr>
              <w:t>进行，暂未配置检测设备</w:t>
            </w:r>
            <w:r>
              <w:rPr>
                <w:rFonts w:hint="eastAsia" w:ascii="宋体" w:hAnsi="宋体" w:cs="宋体"/>
                <w:szCs w:val="21"/>
                <w:highlight w:val="none"/>
                <w:lang w:eastAsia="zh-CN"/>
              </w:rPr>
              <w:t>（</w:t>
            </w:r>
            <w:r>
              <w:rPr>
                <w:rFonts w:hint="eastAsia" w:ascii="宋体" w:hAnsi="宋体" w:cs="宋体"/>
                <w:szCs w:val="21"/>
                <w:highlight w:val="none"/>
                <w:lang w:val="en-US" w:eastAsia="zh-CN"/>
              </w:rPr>
              <w:t>由顾客和厂家自主检测</w:t>
            </w:r>
            <w:r>
              <w:rPr>
                <w:rFonts w:hint="eastAsia" w:ascii="宋体" w:hAnsi="宋体" w:cs="宋体"/>
                <w:szCs w:val="21"/>
                <w:highlight w:val="none"/>
                <w:lang w:eastAsia="zh-CN"/>
              </w:rPr>
              <w:t>）</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eastAsia="宋体" w:cs="宋体"/>
                <w:szCs w:val="21"/>
              </w:rPr>
            </w:pPr>
            <w:r>
              <w:rPr>
                <w:rFonts w:hint="eastAsia" w:ascii="宋体" w:hAnsi="宋体" w:eastAsia="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eastAsia="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leftChars="0"/>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在公司内部主要采用电话、会议、面谈等形式就与产品质量、服务有关问题及与管理体系有关问题进行沟通，未发生由于沟通不到位而影响工作的情况。</w:t>
            </w: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color w:val="000000" w:themeColor="text1"/>
              </w:rPr>
              <w:t>组织重要环境因</w:t>
            </w:r>
            <w:r>
              <w:rPr>
                <w:rFonts w:hint="eastAsia" w:asciiTheme="minorEastAsia" w:hAnsiTheme="minorEastAsia" w:eastAsiaTheme="minorEastAsia"/>
                <w:bCs/>
                <w:iCs/>
              </w:rPr>
              <w:t>素为</w:t>
            </w:r>
            <w:r>
              <w:rPr>
                <w:rFonts w:hint="eastAsia" w:ascii="宋体" w:hAnsi="宋体"/>
                <w:szCs w:val="21"/>
              </w:rPr>
              <w:t>潜在火灾、固废排放</w:t>
            </w:r>
            <w:r>
              <w:rPr>
                <w:rFonts w:hint="eastAsia" w:asciiTheme="minorEastAsia" w:hAnsiTheme="minorEastAsia" w:eastAsiaTheme="minorEastAsia"/>
                <w:bCs/>
                <w:iCs/>
              </w:rPr>
              <w:t>，需要应对的风险和机遇相关的过程为设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imes New Roman" w:hAnsi="Times New Roman" w:eastAsia="宋体" w:cs="Times New Roman"/>
                <w:b/>
                <w:color w:val="000000" w:themeColor="text1"/>
                <w:spacing w:val="-4"/>
                <w:kern w:val="2"/>
                <w:sz w:val="20"/>
                <w:szCs w:val="20"/>
                <w:lang w:val="en-US" w:eastAsia="zh-CN" w:bidi="ar-SA"/>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cs="Times New Roman" w:asciiTheme="minorEastAsia" w:hAnsiTheme="minorEastAsia" w:eastAsiaTheme="minorEastAsia"/>
                <w:bCs/>
                <w:iCs/>
                <w:lang w:val="en-US" w:eastAsia="zh-CN"/>
              </w:rPr>
              <w:t>21</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2</w:t>
            </w:r>
            <w:r>
              <w:rPr>
                <w:rFonts w:hint="eastAsia" w:cs="Times New Roman" w:asciiTheme="minorEastAsia" w:hAnsiTheme="minorEastAsia" w:eastAsiaTheme="minorEastAsia"/>
                <w:bCs/>
                <w:iCs/>
              </w:rPr>
              <w:t>月</w:t>
            </w:r>
            <w:r>
              <w:rPr>
                <w:rFonts w:hint="eastAsia" w:cs="Times New Roman" w:asciiTheme="minorEastAsia" w:hAnsiTheme="minorEastAsia" w:eastAsiaTheme="minorEastAsia"/>
                <w:bCs/>
                <w:iCs/>
                <w:lang w:val="en-US" w:eastAsia="zh-CN"/>
              </w:rPr>
              <w:t>-</w:t>
            </w:r>
            <w:r>
              <w:rPr>
                <w:rFonts w:hint="eastAsia" w:cs="Times New Roman" w:asciiTheme="minorEastAsia" w:hAnsiTheme="minorEastAsia" w:eastAsiaTheme="minorEastAsia"/>
                <w:bCs/>
                <w:iCs/>
              </w:rPr>
              <w:t>20</w:t>
            </w:r>
            <w:r>
              <w:rPr>
                <w:rFonts w:hint="eastAsia" w:cs="Times New Roman" w:asciiTheme="minorEastAsia" w:hAnsiTheme="minorEastAsia" w:eastAsiaTheme="minorEastAsia"/>
                <w:bCs/>
                <w:iCs/>
                <w:lang w:val="en-US" w:eastAsia="zh-CN"/>
              </w:rPr>
              <w:t>21</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6</w:t>
            </w:r>
            <w:r>
              <w:rPr>
                <w:rFonts w:hint="eastAsia" w:cs="Times New Roman" w:asciiTheme="minorEastAsia" w:hAnsiTheme="minorEastAsia" w:eastAsiaTheme="minorEastAsia"/>
                <w:bCs/>
                <w:iCs/>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5" w:leftChars="0" w:hanging="105" w:hangingChars="50"/>
              <w:rPr>
                <w:rFonts w:hint="default"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w:t>
            </w:r>
            <w:r>
              <w:rPr>
                <w:rFonts w:hint="eastAsia" w:cs="Times New Roman" w:asciiTheme="minorEastAsia" w:hAnsiTheme="minorEastAsia" w:eastAsiaTheme="minorEastAsia"/>
                <w:bCs/>
                <w:iCs/>
                <w:lang w:eastAsia="zh-CN"/>
              </w:rPr>
              <w:t>率</w:t>
            </w:r>
            <w:r>
              <w:rPr>
                <w:rFonts w:hint="eastAsia" w:cs="Times New Roman" w:asciiTheme="minorEastAsia" w:hAnsiTheme="minorEastAsia" w:eastAsiaTheme="minorEastAsia"/>
                <w:bCs/>
                <w:iCs/>
              </w:rPr>
              <w:t>评价9</w:t>
            </w:r>
            <w:r>
              <w:rPr>
                <w:rFonts w:hint="eastAsia" w:cs="Times New Roman" w:asciiTheme="minorEastAsia" w:hAnsiTheme="minorEastAsia" w:eastAsiaTheme="minorEastAsia"/>
                <w:bCs/>
                <w:iCs/>
                <w:lang w:val="en-US" w:eastAsia="zh-CN"/>
              </w:rPr>
              <w:t>6%</w:t>
            </w:r>
            <w:r>
              <w:rPr>
                <w:rFonts w:hint="eastAsia" w:cs="Times New Roman" w:asciiTheme="minorEastAsia" w:hAnsiTheme="minorEastAsia" w:eastAsiaTheme="minorEastAsia"/>
                <w:bCs/>
                <w:iCs/>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rPr>
              <w:t>建立有《内部审核控制程序》，规定了内审频次一年一次，内审时间：20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eastAsia="zh-CN"/>
              </w:rPr>
              <w:t>行政部</w:t>
            </w:r>
            <w:r>
              <w:rPr>
                <w:rFonts w:hint="eastAsia" w:ascii="宋体" w:hAnsi="宋体"/>
                <w:szCs w:val="21"/>
                <w:lang w:val="en-US" w:eastAsia="zh-CN"/>
              </w:rPr>
              <w:t>ES8.2</w:t>
            </w:r>
            <w:r>
              <w:rPr>
                <w:rFonts w:hint="eastAsia" w:ascii="宋体" w:hAnsi="宋体"/>
                <w:szCs w:val="21"/>
              </w:rPr>
              <w:t>条款，审核中发现没有“事故应急预案”，针对以上不符合项，已及时采取纠正措施后，经内审员验证关闭。内审的有效性需要改善。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 xml:space="preserve">    </w:t>
            </w:r>
          </w:p>
          <w:p>
            <w:pPr>
              <w:tabs>
                <w:tab w:val="left" w:pos="2657"/>
              </w:tabs>
              <w:bidi w:val="0"/>
              <w:jc w:val="left"/>
              <w:rPr>
                <w:rFonts w:hint="default" w:ascii="Times New Roman" w:hAnsi="Times New Roman" w:eastAsia="宋体" w:cs="Times New Roman"/>
                <w:kern w:val="2"/>
                <w:sz w:val="21"/>
                <w:szCs w:val="24"/>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bookmarkStart w:id="22" w:name="_GoBack"/>
            <w:bookmarkEnd w:id="22"/>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eastAsia="宋体" w:cs="Times New Roman"/>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w:t>
      </w:r>
      <w:r>
        <w:rPr>
          <w:rFonts w:hint="eastAsia"/>
          <w:b/>
          <w:color w:val="000000" w:themeColor="text1"/>
        </w:rPr>
        <w:t>项，一般不符合</w:t>
      </w:r>
      <w:r>
        <w:rPr>
          <w:rFonts w:hint="eastAsia"/>
          <w:b/>
          <w:color w:val="000000" w:themeColor="text1"/>
          <w:lang w:val="en-US" w:eastAsia="zh-CN"/>
        </w:rPr>
        <w:t xml:space="preserve">  </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lang w:eastAsia="zh-CN"/>
              </w:rPr>
              <w:t>米、食用油、预包装食品（含冷藏冷冻食品）、散装食品（含冷藏冷冻食品）的销售（限许可范围内）</w:t>
            </w:r>
            <w:r>
              <w:rPr>
                <w:rFonts w:hint="eastAsia" w:ascii="宋体" w:hAnsi="宋体"/>
                <w:szCs w:val="21"/>
              </w:rPr>
              <w:t>所涉及的相关环境管理活动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lang w:eastAsia="zh-CN"/>
              </w:rPr>
              <w:t>米、食用油、预包装食品（含冷藏冷冻食品）、散装食品（含冷藏冷冻食品）的销售（限许可范围内）</w:t>
            </w:r>
            <w:r>
              <w:rPr>
                <w:rFonts w:hint="eastAsia" w:ascii="宋体" w:hAnsi="宋体"/>
                <w:szCs w:val="21"/>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1637665</wp:posOffset>
            </wp:positionH>
            <wp:positionV relativeFrom="paragraph">
              <wp:posOffset>379730</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2784475</wp:posOffset>
            </wp:positionH>
            <wp:positionV relativeFrom="paragraph">
              <wp:posOffset>129540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4384" behindDoc="1" locked="0" layoutInCell="1" allowOverlap="1">
            <wp:simplePos x="0" y="0"/>
            <wp:positionH relativeFrom="column">
              <wp:posOffset>1673225</wp:posOffset>
            </wp:positionH>
            <wp:positionV relativeFrom="paragraph">
              <wp:posOffset>121285</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8"/>
                    <a:stretch>
                      <a:fillRect/>
                    </a:stretch>
                  </pic:blipFill>
                  <pic:spPr>
                    <a:xfrm>
                      <a:off x="0" y="0"/>
                      <a:ext cx="812800" cy="2794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744855</wp:posOffset>
            </wp:positionH>
            <wp:positionV relativeFrom="paragraph">
              <wp:posOffset>183515</wp:posOffset>
            </wp:positionV>
            <wp:extent cx="401955" cy="361950"/>
            <wp:effectExtent l="0" t="0" r="9525" b="381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BA1152"/>
    <w:rsid w:val="6D60629F"/>
    <w:rsid w:val="7C8B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7</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2021-07-05T08:41:49Z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8EC2F8C7DE264ED3B7E340704247543B</vt:lpwstr>
  </property>
</Properties>
</file>