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256"/>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r>
              <w:rPr>
                <w:rFonts w:hint="eastAsia"/>
              </w:rPr>
              <w:t>受审核方</w:t>
            </w:r>
          </w:p>
        </w:tc>
        <w:tc>
          <w:tcPr>
            <w:tcW w:w="8741" w:type="dxa"/>
            <w:gridSpan w:val="13"/>
            <w:vAlign w:val="center"/>
          </w:tcPr>
          <w:p>
            <w:bookmarkStart w:id="0" w:name="组织名称"/>
            <w:r>
              <w:t>陇西县水泥制品厂</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r>
              <w:rPr>
                <w:rFonts w:hint="eastAsia"/>
              </w:rPr>
              <w:t>合同编号.</w:t>
            </w:r>
          </w:p>
        </w:tc>
        <w:tc>
          <w:tcPr>
            <w:tcW w:w="2551" w:type="dxa"/>
            <w:gridSpan w:val="4"/>
            <w:vAlign w:val="center"/>
          </w:tcPr>
          <w:p>
            <w:bookmarkStart w:id="1" w:name="合同编号"/>
            <w:r>
              <w:t>0689-2021-Q</w:t>
            </w:r>
            <w:bookmarkEnd w:id="1"/>
          </w:p>
        </w:tc>
        <w:tc>
          <w:tcPr>
            <w:tcW w:w="1701" w:type="dxa"/>
            <w:gridSpan w:val="2"/>
            <w:vAlign w:val="center"/>
          </w:tcPr>
          <w:p>
            <w:r>
              <w:rPr>
                <w:rFonts w:hint="eastAsia"/>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r>
              <w:rPr>
                <w:rFonts w:hint="eastAsia"/>
              </w:rPr>
              <w:t>联系人</w:t>
            </w:r>
          </w:p>
        </w:tc>
        <w:tc>
          <w:tcPr>
            <w:tcW w:w="2551" w:type="dxa"/>
            <w:gridSpan w:val="4"/>
            <w:vAlign w:val="center"/>
          </w:tcPr>
          <w:p>
            <w:bookmarkStart w:id="5" w:name="联系人"/>
            <w:r>
              <w:t>毛欣</w:t>
            </w:r>
            <w:bookmarkEnd w:id="5"/>
          </w:p>
        </w:tc>
        <w:tc>
          <w:tcPr>
            <w:tcW w:w="1701" w:type="dxa"/>
            <w:gridSpan w:val="2"/>
            <w:vAlign w:val="center"/>
          </w:tcPr>
          <w:p>
            <w:r>
              <w:rPr>
                <w:rFonts w:hint="eastAsia"/>
              </w:rPr>
              <w:t>联系电话</w:t>
            </w:r>
          </w:p>
        </w:tc>
        <w:tc>
          <w:tcPr>
            <w:tcW w:w="1701" w:type="dxa"/>
            <w:gridSpan w:val="2"/>
            <w:vAlign w:val="center"/>
          </w:tcPr>
          <w:p>
            <w:pPr>
              <w:rPr>
                <w:sz w:val="21"/>
                <w:szCs w:val="21"/>
              </w:rPr>
            </w:pPr>
            <w:bookmarkStart w:id="6" w:name="联系人电话"/>
            <w:r>
              <w:rPr>
                <w:sz w:val="21"/>
                <w:szCs w:val="21"/>
              </w:rPr>
              <w:t>17793223635</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369006476@qq.com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pPr>
              <w:rPr>
                <w:rFonts w:hint="default"/>
                <w:lang w:val="en-US" w:eastAsia="zh-CN"/>
              </w:rPr>
            </w:pPr>
            <w:bookmarkStart w:id="8" w:name="最高管理者"/>
            <w:bookmarkEnd w:id="8"/>
            <w:r>
              <w:rPr>
                <w:rFonts w:hint="eastAsia"/>
                <w:lang w:val="en-US" w:eastAsia="zh-CN"/>
              </w:rPr>
              <w:t>陈海舟</w:t>
            </w:r>
            <w:bookmarkStart w:id="14" w:name="_GoBack"/>
            <w:bookmarkEnd w:id="14"/>
          </w:p>
        </w:tc>
        <w:tc>
          <w:tcPr>
            <w:tcW w:w="1701" w:type="dxa"/>
            <w:gridSpan w:val="2"/>
            <w:vAlign w:val="center"/>
          </w:tcPr>
          <w:p>
            <w:r>
              <w:rPr>
                <w:rFonts w:hint="eastAsia"/>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环型混凝土电杆、钢筋混凝土排水管的生产及销售</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16.02.01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GB/T19001-2016/ISO9001:2015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2021年07月02日 上午至2021年07月02日 上午 (共0.5天)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390" w:type="dxa"/>
            <w:gridSpan w:val="4"/>
            <w:vAlign w:val="center"/>
          </w:tcPr>
          <w:p>
            <w:pPr>
              <w:jc w:val="center"/>
              <w:rPr>
                <w:sz w:val="21"/>
                <w:szCs w:val="21"/>
              </w:rPr>
            </w:pPr>
            <w:r>
              <w:rPr>
                <w:rFonts w:hint="eastAsia"/>
                <w:sz w:val="21"/>
                <w:szCs w:val="21"/>
              </w:rPr>
              <w:t>联系电话</w:t>
            </w:r>
          </w:p>
        </w:tc>
        <w:tc>
          <w:tcPr>
            <w:tcW w:w="1398"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安涛</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3402" w:type="dxa"/>
            <w:gridSpan w:val="4"/>
            <w:vAlign w:val="center"/>
          </w:tcPr>
          <w:p>
            <w:pPr>
              <w:jc w:val="center"/>
              <w:rPr>
                <w:sz w:val="21"/>
                <w:szCs w:val="21"/>
              </w:rPr>
            </w:pPr>
            <w:r>
              <w:rPr>
                <w:sz w:val="21"/>
                <w:szCs w:val="21"/>
              </w:rPr>
              <w:t>16.02.01</w:t>
            </w:r>
          </w:p>
        </w:tc>
        <w:tc>
          <w:tcPr>
            <w:tcW w:w="1390" w:type="dxa"/>
            <w:gridSpan w:val="4"/>
            <w:vAlign w:val="center"/>
          </w:tcPr>
          <w:p>
            <w:pPr>
              <w:jc w:val="center"/>
              <w:rPr>
                <w:sz w:val="21"/>
                <w:szCs w:val="21"/>
              </w:rPr>
            </w:pPr>
            <w:r>
              <w:rPr>
                <w:sz w:val="21"/>
                <w:szCs w:val="21"/>
              </w:rPr>
              <w:t>15101323490</w:t>
            </w:r>
          </w:p>
        </w:tc>
        <w:tc>
          <w:tcPr>
            <w:tcW w:w="1398" w:type="dxa"/>
            <w:vAlign w:val="center"/>
          </w:tcPr>
          <w:p>
            <w:pPr>
              <w:jc w:val="center"/>
              <w:rPr>
                <w:sz w:val="21"/>
                <w:szCs w:val="21"/>
              </w:rPr>
            </w:pPr>
            <w:r>
              <w:rPr>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402" w:type="dxa"/>
            <w:gridSpan w:val="4"/>
            <w:vAlign w:val="center"/>
          </w:tcPr>
          <w:p/>
        </w:tc>
        <w:tc>
          <w:tcPr>
            <w:tcW w:w="1390" w:type="dxa"/>
            <w:gridSpan w:val="4"/>
            <w:vAlign w:val="center"/>
          </w:tcPr>
          <w:p/>
        </w:tc>
        <w:tc>
          <w:tcPr>
            <w:tcW w:w="139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p>
      <w:pPr>
        <w:tabs>
          <w:tab w:val="left" w:pos="432"/>
        </w:tabs>
        <w:spacing w:line="360" w:lineRule="auto"/>
        <w:textAlignment w:val="center"/>
        <w:rPr>
          <w:rFonts w:hint="eastAsia"/>
          <w:b/>
          <w:color w:val="000000"/>
          <w:sz w:val="21"/>
          <w:szCs w:val="21"/>
        </w:rPr>
      </w:pP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745"/>
        <w:gridCol w:w="642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cs="宋体"/>
                <w:b/>
                <w:sz w:val="21"/>
                <w:szCs w:val="21"/>
              </w:rPr>
            </w:pPr>
            <w:r>
              <w:rPr>
                <w:rFonts w:hint="eastAsia" w:ascii="宋体" w:hAnsi="宋体" w:cs="宋体"/>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ascii="宋体" w:hAnsi="宋体" w:cs="宋体"/>
                <w:b/>
                <w:sz w:val="21"/>
                <w:szCs w:val="21"/>
              </w:rPr>
            </w:pPr>
            <w:r>
              <w:rPr>
                <w:rFonts w:hint="eastAsia" w:ascii="宋体" w:hAnsi="宋体" w:cs="宋体"/>
                <w:b/>
                <w:sz w:val="21"/>
                <w:szCs w:val="21"/>
              </w:rPr>
              <w:t>日期</w:t>
            </w:r>
          </w:p>
        </w:tc>
        <w:tc>
          <w:tcPr>
            <w:tcW w:w="1745" w:type="dxa"/>
            <w:vAlign w:val="center"/>
          </w:tcPr>
          <w:p>
            <w:pPr>
              <w:snapToGrid w:val="0"/>
              <w:spacing w:line="280" w:lineRule="exact"/>
              <w:jc w:val="center"/>
              <w:rPr>
                <w:rFonts w:ascii="宋体" w:hAnsi="宋体" w:cs="宋体"/>
                <w:b/>
                <w:sz w:val="21"/>
                <w:szCs w:val="21"/>
              </w:rPr>
            </w:pPr>
            <w:r>
              <w:rPr>
                <w:rFonts w:hint="eastAsia" w:ascii="宋体" w:hAnsi="宋体" w:cs="宋体"/>
                <w:b/>
                <w:sz w:val="21"/>
                <w:szCs w:val="21"/>
              </w:rPr>
              <w:t>时间</w:t>
            </w:r>
          </w:p>
        </w:tc>
        <w:tc>
          <w:tcPr>
            <w:tcW w:w="6425" w:type="dxa"/>
            <w:vAlign w:val="center"/>
          </w:tcPr>
          <w:p>
            <w:pPr>
              <w:snapToGrid w:val="0"/>
              <w:spacing w:line="280" w:lineRule="exact"/>
              <w:jc w:val="center"/>
              <w:rPr>
                <w:rFonts w:ascii="宋体" w:hAnsi="宋体" w:cs="宋体"/>
                <w:b/>
                <w:sz w:val="21"/>
                <w:szCs w:val="21"/>
              </w:rPr>
            </w:pPr>
            <w:r>
              <w:rPr>
                <w:rFonts w:hint="eastAsia" w:ascii="宋体" w:hAnsi="宋体" w:cs="宋体"/>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rFonts w:ascii="宋体" w:hAnsi="宋体" w:cs="宋体"/>
                <w:b/>
                <w:sz w:val="21"/>
                <w:szCs w:val="21"/>
              </w:rPr>
            </w:pPr>
            <w:r>
              <w:rPr>
                <w:rFonts w:hint="eastAsia" w:ascii="宋体" w:hAnsi="宋体" w:cs="宋体"/>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011" w:type="dxa"/>
            <w:vMerge w:val="restart"/>
            <w:tcBorders>
              <w:left w:val="single" w:color="auto" w:sz="8" w:space="0"/>
            </w:tcBorders>
            <w:vAlign w:val="center"/>
          </w:tcPr>
          <w:p>
            <w:pPr>
              <w:rPr>
                <w:rFonts w:ascii="宋体" w:hAnsi="宋体" w:cs="宋体"/>
                <w:sz w:val="21"/>
                <w:szCs w:val="21"/>
              </w:rPr>
            </w:pPr>
            <w:r>
              <w:rPr>
                <w:rFonts w:hint="eastAsia" w:ascii="宋体" w:hAnsi="宋体" w:cs="宋体"/>
                <w:sz w:val="21"/>
                <w:szCs w:val="21"/>
                <w:lang w:val="en-US" w:eastAsia="zh-CN"/>
              </w:rPr>
              <w:t>21.7.2</w:t>
            </w:r>
          </w:p>
          <w:p>
            <w:pPr>
              <w:rPr>
                <w:rFonts w:ascii="宋体" w:hAnsi="宋体" w:cs="宋体"/>
                <w:b/>
                <w:sz w:val="21"/>
                <w:szCs w:val="21"/>
              </w:rPr>
            </w:pPr>
            <w:r>
              <w:rPr>
                <w:rFonts w:hint="eastAsia" w:ascii="宋体" w:hAnsi="宋体" w:cs="宋体"/>
                <w:sz w:val="21"/>
                <w:szCs w:val="21"/>
              </w:rPr>
              <w:t>上午</w:t>
            </w:r>
          </w:p>
        </w:tc>
        <w:tc>
          <w:tcPr>
            <w:tcW w:w="1745" w:type="dxa"/>
            <w:vAlign w:val="center"/>
          </w:tcPr>
          <w:p>
            <w:pPr>
              <w:jc w:val="center"/>
              <w:rPr>
                <w:rFonts w:ascii="宋体" w:hAnsi="宋体" w:cs="宋体"/>
                <w:sz w:val="21"/>
                <w:szCs w:val="21"/>
              </w:rPr>
            </w:pPr>
            <w:r>
              <w:rPr>
                <w:rFonts w:hint="eastAsia" w:ascii="宋体" w:hAnsi="宋体" w:cs="宋体"/>
                <w:sz w:val="21"/>
                <w:szCs w:val="21"/>
              </w:rPr>
              <w:t>8:</w:t>
            </w:r>
            <w:r>
              <w:rPr>
                <w:rFonts w:hint="eastAsia" w:ascii="宋体" w:hAnsi="宋体" w:cs="宋体"/>
                <w:sz w:val="21"/>
                <w:szCs w:val="21"/>
                <w:lang w:val="en-US" w:eastAsia="zh-CN"/>
              </w:rPr>
              <w:t>0</w:t>
            </w:r>
            <w:r>
              <w:rPr>
                <w:rFonts w:hint="eastAsia" w:ascii="宋体" w:hAnsi="宋体" w:cs="宋体"/>
                <w:sz w:val="21"/>
                <w:szCs w:val="21"/>
              </w:rPr>
              <w:t>0-</w:t>
            </w: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0</w:t>
            </w:r>
          </w:p>
        </w:tc>
        <w:tc>
          <w:tcPr>
            <w:tcW w:w="6425" w:type="dxa"/>
            <w:vAlign w:val="center"/>
          </w:tcPr>
          <w:p>
            <w:pPr>
              <w:jc w:val="center"/>
              <w:rPr>
                <w:rFonts w:ascii="宋体" w:hAnsi="宋体" w:cs="宋体"/>
                <w:sz w:val="21"/>
                <w:szCs w:val="21"/>
              </w:rPr>
            </w:pPr>
            <w:r>
              <w:rPr>
                <w:rFonts w:hint="eastAsia" w:ascii="宋体" w:hAnsi="宋体" w:cs="宋体"/>
                <w:sz w:val="21"/>
                <w:szCs w:val="21"/>
              </w:rPr>
              <w:t>首次会议</w:t>
            </w:r>
          </w:p>
        </w:tc>
        <w:tc>
          <w:tcPr>
            <w:tcW w:w="1196" w:type="dxa"/>
            <w:tcBorders>
              <w:right w:val="single" w:color="auto" w:sz="8" w:space="0"/>
            </w:tcBorders>
            <w:vAlign w:val="center"/>
          </w:tcPr>
          <w:p>
            <w:pPr>
              <w:jc w:val="center"/>
              <w:rPr>
                <w:rFonts w:ascii="宋体" w:hAnsi="宋体" w:cs="宋体"/>
                <w:sz w:val="21"/>
                <w:szCs w:val="21"/>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trPr>
        <w:tc>
          <w:tcPr>
            <w:tcW w:w="1011" w:type="dxa"/>
            <w:vMerge w:val="continue"/>
            <w:tcBorders>
              <w:left w:val="single" w:color="auto" w:sz="8" w:space="0"/>
            </w:tcBorders>
            <w:vAlign w:val="center"/>
          </w:tcPr>
          <w:p>
            <w:pPr>
              <w:snapToGrid w:val="0"/>
              <w:spacing w:line="280" w:lineRule="exact"/>
              <w:jc w:val="left"/>
              <w:rPr>
                <w:rFonts w:ascii="宋体" w:hAnsi="宋体" w:cs="宋体"/>
                <w:b/>
                <w:sz w:val="21"/>
                <w:szCs w:val="21"/>
              </w:rPr>
            </w:pPr>
          </w:p>
        </w:tc>
        <w:tc>
          <w:tcPr>
            <w:tcW w:w="1745" w:type="dxa"/>
            <w:vMerge w:val="restart"/>
            <w:vAlign w:val="center"/>
          </w:tcPr>
          <w:p>
            <w:pPr>
              <w:jc w:val="center"/>
              <w:rPr>
                <w:rFonts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0-1</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0</w:t>
            </w:r>
          </w:p>
        </w:tc>
        <w:tc>
          <w:tcPr>
            <w:tcW w:w="6425" w:type="dxa"/>
            <w:vAlign w:val="center"/>
          </w:tcPr>
          <w:p>
            <w:pPr>
              <w:rPr>
                <w:rFonts w:ascii="宋体" w:hAnsi="宋体" w:cs="宋体"/>
                <w:sz w:val="21"/>
                <w:szCs w:val="21"/>
              </w:rPr>
            </w:pPr>
            <w:r>
              <w:rPr>
                <w:rFonts w:hint="eastAsia" w:ascii="宋体" w:hAnsi="宋体" w:cs="宋体"/>
                <w:sz w:val="21"/>
                <w:szCs w:val="21"/>
              </w:rPr>
              <w:t>管理层</w:t>
            </w:r>
          </w:p>
          <w:p>
            <w:pPr>
              <w:rPr>
                <w:rFonts w:ascii="宋体" w:hAnsi="宋体" w:cs="宋体"/>
                <w:sz w:val="21"/>
                <w:szCs w:val="21"/>
              </w:rPr>
            </w:pPr>
            <w:r>
              <w:rPr>
                <w:rFonts w:hint="eastAsia" w:ascii="宋体" w:hAnsi="宋体" w:cs="宋体"/>
                <w:sz w:val="21"/>
                <w:szCs w:val="21"/>
              </w:rPr>
              <w:t>了解公司基本概况，了解公司管理体系策划情况，理解组织及其环境，相关方需求和期望；确定质量管理体系的范围、方针、目标和运作的识别情况；风险与机遇管控情况；</w:t>
            </w:r>
          </w:p>
          <w:p>
            <w:pPr>
              <w:rPr>
                <w:rFonts w:ascii="宋体" w:hAnsi="宋体" w:cs="宋体"/>
                <w:sz w:val="21"/>
                <w:szCs w:val="21"/>
              </w:rPr>
            </w:pPr>
            <w:r>
              <w:rPr>
                <w:rFonts w:hint="eastAsia" w:ascii="宋体" w:hAnsi="宋体" w:cs="宋体"/>
                <w:sz w:val="21"/>
                <w:szCs w:val="21"/>
              </w:rPr>
              <w:t>评价客户是否策划和实施了内部审核；</w:t>
            </w:r>
          </w:p>
          <w:p>
            <w:pPr>
              <w:rPr>
                <w:rFonts w:ascii="宋体" w:hAnsi="宋体" w:cs="宋体"/>
                <w:sz w:val="21"/>
                <w:szCs w:val="21"/>
              </w:rPr>
            </w:pPr>
            <w:r>
              <w:rPr>
                <w:rFonts w:hint="eastAsia" w:ascii="宋体" w:hAnsi="宋体" w:cs="宋体"/>
                <w:sz w:val="21"/>
                <w:szCs w:val="21"/>
              </w:rPr>
              <w:t>了解和评审公司是否策划和实施了管理评审;</w:t>
            </w:r>
          </w:p>
        </w:tc>
        <w:tc>
          <w:tcPr>
            <w:tcW w:w="1196" w:type="dxa"/>
            <w:tcBorders>
              <w:right w:val="single" w:color="auto" w:sz="8" w:space="0"/>
            </w:tcBorders>
            <w:vAlign w:val="center"/>
          </w:tcPr>
          <w:p>
            <w:pPr>
              <w:snapToGrid w:val="0"/>
              <w:spacing w:line="280" w:lineRule="exact"/>
              <w:jc w:val="center"/>
              <w:rPr>
                <w:rFonts w:ascii="宋体" w:hAnsi="宋体" w:cs="宋体"/>
                <w:b/>
                <w:sz w:val="21"/>
                <w:szCs w:val="21"/>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ascii="宋体" w:hAnsi="宋体" w:cs="宋体"/>
                <w:b/>
                <w:sz w:val="21"/>
                <w:szCs w:val="21"/>
              </w:rPr>
            </w:pPr>
          </w:p>
        </w:tc>
        <w:tc>
          <w:tcPr>
            <w:tcW w:w="1745" w:type="dxa"/>
            <w:vMerge w:val="continue"/>
            <w:vAlign w:val="center"/>
          </w:tcPr>
          <w:p>
            <w:pPr>
              <w:jc w:val="center"/>
              <w:rPr>
                <w:rFonts w:ascii="宋体" w:hAnsi="宋体" w:cs="宋体"/>
                <w:sz w:val="21"/>
                <w:szCs w:val="21"/>
              </w:rPr>
            </w:pPr>
          </w:p>
        </w:tc>
        <w:tc>
          <w:tcPr>
            <w:tcW w:w="6425" w:type="dxa"/>
            <w:vAlign w:val="center"/>
          </w:tcPr>
          <w:p>
            <w:pPr>
              <w:rPr>
                <w:rFonts w:hint="eastAsia" w:ascii="宋体" w:hAnsi="宋体" w:eastAsia="宋体" w:cs="宋体"/>
                <w:sz w:val="21"/>
                <w:szCs w:val="21"/>
                <w:lang w:eastAsia="zh-CN"/>
              </w:rPr>
            </w:pPr>
            <w:r>
              <w:rPr>
                <w:rFonts w:hint="eastAsia" w:ascii="宋体" w:hAnsi="宋体" w:cs="宋体"/>
                <w:sz w:val="21"/>
                <w:szCs w:val="21"/>
              </w:rPr>
              <w:t>体系主管部门：综合</w:t>
            </w:r>
            <w:r>
              <w:rPr>
                <w:rFonts w:hint="eastAsia" w:ascii="宋体" w:hAnsi="宋体" w:cs="宋体"/>
                <w:sz w:val="21"/>
                <w:szCs w:val="21"/>
                <w:lang w:val="en-US" w:eastAsia="zh-CN"/>
              </w:rPr>
              <w:t>办公室</w:t>
            </w:r>
          </w:p>
          <w:p>
            <w:pPr>
              <w:rPr>
                <w:rFonts w:ascii="宋体" w:hAnsi="宋体" w:cs="宋体"/>
                <w:sz w:val="21"/>
                <w:szCs w:val="21"/>
              </w:rPr>
            </w:pPr>
            <w:r>
              <w:rPr>
                <w:rFonts w:hint="eastAsia" w:ascii="宋体" w:hAnsi="宋体" w:cs="宋体"/>
                <w:sz w:val="21"/>
                <w:szCs w:val="21"/>
              </w:rPr>
              <w:t>目标的策划和实施情况</w:t>
            </w:r>
          </w:p>
          <w:p>
            <w:pPr>
              <w:rPr>
                <w:rFonts w:ascii="宋体" w:hAnsi="宋体" w:cs="宋体"/>
                <w:sz w:val="21"/>
                <w:szCs w:val="21"/>
              </w:rPr>
            </w:pPr>
            <w:r>
              <w:rPr>
                <w:rFonts w:hint="eastAsia" w:ascii="宋体" w:hAnsi="宋体" w:cs="宋体"/>
                <w:sz w:val="21"/>
                <w:szCs w:val="21"/>
              </w:rPr>
              <w:t>收集关于客户的管理体系范围的必要信息，包括：</w:t>
            </w:r>
          </w:p>
          <w:p>
            <w:pPr>
              <w:rPr>
                <w:rFonts w:ascii="宋体" w:hAnsi="宋体" w:cs="宋体"/>
                <w:sz w:val="21"/>
                <w:szCs w:val="21"/>
              </w:rPr>
            </w:pPr>
            <w:r>
              <w:rPr>
                <w:rFonts w:hint="eastAsia" w:ascii="宋体" w:hAnsi="宋体" w:cs="宋体"/>
                <w:sz w:val="21"/>
                <w:szCs w:val="21"/>
              </w:rPr>
              <w:t>- 客户的场所</w:t>
            </w:r>
          </w:p>
          <w:p>
            <w:pPr>
              <w:rPr>
                <w:rFonts w:ascii="宋体" w:hAnsi="宋体" w:cs="宋体"/>
                <w:sz w:val="21"/>
                <w:szCs w:val="21"/>
              </w:rPr>
            </w:pPr>
            <w:r>
              <w:rPr>
                <w:rFonts w:hint="eastAsia" w:ascii="宋体" w:hAnsi="宋体" w:cs="宋体"/>
                <w:sz w:val="21"/>
                <w:szCs w:val="21"/>
              </w:rPr>
              <w:t>- 所建立的控制的水平</w:t>
            </w:r>
          </w:p>
        </w:tc>
        <w:tc>
          <w:tcPr>
            <w:tcW w:w="1196" w:type="dxa"/>
            <w:tcBorders>
              <w:right w:val="single" w:color="auto" w:sz="8" w:space="0"/>
            </w:tcBorders>
            <w:vAlign w:val="center"/>
          </w:tcPr>
          <w:p>
            <w:pPr>
              <w:snapToGrid w:val="0"/>
              <w:spacing w:line="280" w:lineRule="exact"/>
              <w:jc w:val="center"/>
              <w:rPr>
                <w:rFonts w:ascii="宋体" w:hAnsi="宋体" w:cs="宋体"/>
                <w:b/>
                <w:sz w:val="21"/>
                <w:szCs w:val="21"/>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ascii="宋体" w:hAnsi="宋体" w:cs="宋体"/>
                <w:b/>
                <w:sz w:val="21"/>
                <w:szCs w:val="21"/>
              </w:rPr>
            </w:pPr>
          </w:p>
        </w:tc>
        <w:tc>
          <w:tcPr>
            <w:tcW w:w="1745" w:type="dxa"/>
            <w:vMerge w:val="continue"/>
            <w:vAlign w:val="center"/>
          </w:tcPr>
          <w:p>
            <w:pPr>
              <w:jc w:val="center"/>
              <w:rPr>
                <w:rFonts w:ascii="宋体" w:hAnsi="宋体" w:cs="宋体"/>
                <w:sz w:val="21"/>
                <w:szCs w:val="21"/>
              </w:rPr>
            </w:pPr>
          </w:p>
        </w:tc>
        <w:tc>
          <w:tcPr>
            <w:tcW w:w="6425" w:type="dxa"/>
            <w:vAlign w:val="center"/>
          </w:tcPr>
          <w:p>
            <w:pPr>
              <w:rPr>
                <w:rFonts w:ascii="宋体" w:hAnsi="宋体" w:cs="宋体"/>
                <w:sz w:val="21"/>
                <w:szCs w:val="21"/>
              </w:rPr>
            </w:pPr>
            <w:r>
              <w:rPr>
                <w:rFonts w:hint="eastAsia" w:ascii="宋体" w:hAnsi="宋体" w:cs="宋体"/>
                <w:sz w:val="21"/>
                <w:szCs w:val="21"/>
              </w:rPr>
              <w:t>作业现场参观</w:t>
            </w:r>
          </w:p>
          <w:p>
            <w:pPr>
              <w:rPr>
                <w:rFonts w:ascii="宋体" w:hAnsi="宋体" w:cs="宋体"/>
                <w:sz w:val="21"/>
                <w:szCs w:val="21"/>
              </w:rPr>
            </w:pPr>
            <w:r>
              <w:rPr>
                <w:rFonts w:hint="eastAsia" w:ascii="宋体" w:hAnsi="宋体" w:cs="宋体"/>
                <w:sz w:val="21"/>
                <w:szCs w:val="21"/>
              </w:rPr>
              <w:t>结合管理体系标准或其他规范性文件充分了解客户的管理体系和现场运作，以便为策划第二阶段提供关注点；</w:t>
            </w:r>
          </w:p>
        </w:tc>
        <w:tc>
          <w:tcPr>
            <w:tcW w:w="1196" w:type="dxa"/>
            <w:tcBorders>
              <w:right w:val="single" w:color="auto" w:sz="8" w:space="0"/>
            </w:tcBorders>
            <w:vAlign w:val="center"/>
          </w:tcPr>
          <w:p>
            <w:pPr>
              <w:snapToGrid w:val="0"/>
              <w:spacing w:line="280" w:lineRule="exact"/>
              <w:jc w:val="center"/>
              <w:rPr>
                <w:rFonts w:ascii="宋体" w:hAnsi="宋体" w:cs="宋体"/>
                <w:b/>
                <w:sz w:val="21"/>
                <w:szCs w:val="21"/>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ascii="宋体" w:hAnsi="宋体" w:cs="宋体"/>
                <w:b/>
                <w:sz w:val="21"/>
                <w:szCs w:val="21"/>
              </w:rPr>
            </w:pPr>
          </w:p>
        </w:tc>
        <w:tc>
          <w:tcPr>
            <w:tcW w:w="1745" w:type="dxa"/>
            <w:vMerge w:val="continue"/>
            <w:vAlign w:val="center"/>
          </w:tcPr>
          <w:p>
            <w:pPr>
              <w:jc w:val="center"/>
              <w:rPr>
                <w:rFonts w:ascii="宋体" w:hAnsi="宋体" w:cs="宋体"/>
                <w:sz w:val="21"/>
                <w:szCs w:val="21"/>
              </w:rPr>
            </w:pPr>
          </w:p>
        </w:tc>
        <w:tc>
          <w:tcPr>
            <w:tcW w:w="6425" w:type="dxa"/>
            <w:vAlign w:val="center"/>
          </w:tcPr>
          <w:p>
            <w:pPr>
              <w:rPr>
                <w:rFonts w:ascii="宋体" w:hAnsi="宋体" w:cs="宋体"/>
                <w:sz w:val="21"/>
                <w:szCs w:val="21"/>
              </w:rPr>
            </w:pPr>
            <w:r>
              <w:rPr>
                <w:rFonts w:hint="eastAsia" w:ascii="宋体" w:hAnsi="宋体" w:cs="宋体"/>
                <w:sz w:val="21"/>
                <w:szCs w:val="21"/>
              </w:rPr>
              <w:t>审核总结，遗留问题处理、审核资料准备</w:t>
            </w:r>
          </w:p>
          <w:p>
            <w:pPr>
              <w:rPr>
                <w:rFonts w:ascii="宋体" w:hAnsi="宋体" w:cs="宋体"/>
                <w:sz w:val="21"/>
                <w:szCs w:val="21"/>
              </w:rPr>
            </w:pPr>
            <w:r>
              <w:rPr>
                <w:rFonts w:hint="eastAsia" w:ascii="宋体" w:hAnsi="宋体" w:cs="宋体"/>
                <w:sz w:val="21"/>
                <w:szCs w:val="21"/>
              </w:rPr>
              <w:t>管理层：与受审核方交流，商定第二阶段审核的细节</w:t>
            </w:r>
          </w:p>
        </w:tc>
        <w:tc>
          <w:tcPr>
            <w:tcW w:w="1196" w:type="dxa"/>
            <w:tcBorders>
              <w:right w:val="single" w:color="auto" w:sz="8" w:space="0"/>
            </w:tcBorders>
            <w:vAlign w:val="center"/>
          </w:tcPr>
          <w:p>
            <w:pPr>
              <w:snapToGrid w:val="0"/>
              <w:spacing w:line="280" w:lineRule="exact"/>
              <w:jc w:val="center"/>
              <w:rPr>
                <w:rFonts w:ascii="宋体" w:hAnsi="宋体" w:cs="宋体"/>
                <w:b/>
                <w:sz w:val="21"/>
                <w:szCs w:val="21"/>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11" w:type="dxa"/>
            <w:vMerge w:val="continue"/>
            <w:tcBorders>
              <w:left w:val="single" w:color="auto" w:sz="8" w:space="0"/>
            </w:tcBorders>
            <w:vAlign w:val="center"/>
          </w:tcPr>
          <w:p>
            <w:pPr>
              <w:snapToGrid w:val="0"/>
              <w:spacing w:line="280" w:lineRule="exact"/>
              <w:jc w:val="left"/>
              <w:rPr>
                <w:rFonts w:ascii="宋体" w:hAnsi="宋体" w:cs="宋体"/>
                <w:b/>
                <w:sz w:val="21"/>
                <w:szCs w:val="21"/>
              </w:rPr>
            </w:pPr>
          </w:p>
        </w:tc>
        <w:tc>
          <w:tcPr>
            <w:tcW w:w="1745" w:type="dxa"/>
            <w:vAlign w:val="center"/>
          </w:tcPr>
          <w:p>
            <w:pPr>
              <w:jc w:val="center"/>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0-12:</w:t>
            </w:r>
            <w:r>
              <w:rPr>
                <w:rFonts w:hint="eastAsia" w:ascii="宋体" w:hAnsi="宋体" w:cs="宋体"/>
                <w:sz w:val="21"/>
                <w:szCs w:val="21"/>
                <w:lang w:val="en-US" w:eastAsia="zh-CN"/>
              </w:rPr>
              <w:t>0</w:t>
            </w:r>
            <w:r>
              <w:rPr>
                <w:rFonts w:hint="eastAsia" w:ascii="宋体" w:hAnsi="宋体" w:cs="宋体"/>
                <w:sz w:val="21"/>
                <w:szCs w:val="21"/>
              </w:rPr>
              <w:t>0</w:t>
            </w:r>
          </w:p>
        </w:tc>
        <w:tc>
          <w:tcPr>
            <w:tcW w:w="6425" w:type="dxa"/>
            <w:vAlign w:val="center"/>
          </w:tcPr>
          <w:p>
            <w:pPr>
              <w:rPr>
                <w:rFonts w:ascii="宋体" w:hAnsi="宋体" w:cs="宋体"/>
                <w:sz w:val="21"/>
                <w:szCs w:val="21"/>
              </w:rPr>
            </w:pPr>
            <w:r>
              <w:rPr>
                <w:rFonts w:hint="eastAsia" w:ascii="宋体" w:hAnsi="宋体" w:cs="宋体"/>
                <w:sz w:val="21"/>
                <w:szCs w:val="21"/>
              </w:rPr>
              <w:t>末次会议</w:t>
            </w:r>
          </w:p>
        </w:tc>
        <w:tc>
          <w:tcPr>
            <w:tcW w:w="1196" w:type="dxa"/>
            <w:tcBorders>
              <w:right w:val="single" w:color="auto" w:sz="8" w:space="0"/>
            </w:tcBorders>
            <w:vAlign w:val="center"/>
          </w:tcPr>
          <w:p>
            <w:pPr>
              <w:snapToGrid w:val="0"/>
              <w:spacing w:line="280" w:lineRule="exact"/>
              <w:jc w:val="center"/>
              <w:rPr>
                <w:rFonts w:ascii="宋体" w:hAnsi="宋体" w:cs="宋体"/>
                <w:b/>
                <w:sz w:val="21"/>
                <w:szCs w:val="21"/>
              </w:rPr>
            </w:pPr>
            <w:r>
              <w:rPr>
                <w:rFonts w:hint="eastAsia"/>
                <w:sz w:val="21"/>
                <w:szCs w:val="21"/>
                <w:lang w:val="en-US" w:eastAsia="zh-CN"/>
              </w:rPr>
              <w:t>A</w:t>
            </w:r>
          </w:p>
        </w:tc>
      </w:tr>
    </w:tbl>
    <w:p>
      <w:pPr>
        <w:tabs>
          <w:tab w:val="left" w:pos="432"/>
        </w:tabs>
        <w:spacing w:line="360" w:lineRule="auto"/>
        <w:ind w:left="432"/>
        <w:textAlignment w:val="center"/>
        <w:rPr>
          <w:rFonts w:hint="eastAsia"/>
          <w:b/>
          <w:color w:val="000000"/>
          <w:sz w:val="21"/>
          <w:szCs w:val="21"/>
        </w:rPr>
      </w:pPr>
    </w:p>
    <w:p>
      <w:pPr>
        <w:tabs>
          <w:tab w:val="left" w:pos="432"/>
        </w:tabs>
        <w:spacing w:line="360" w:lineRule="auto"/>
        <w:ind w:left="432"/>
        <w:textAlignment w:val="center"/>
        <w:rPr>
          <w:rFonts w:hint="eastAsia"/>
          <w:b/>
          <w:color w:val="000000"/>
          <w:sz w:val="21"/>
          <w:szCs w:val="21"/>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3A3949"/>
    <w:rsid w:val="383C28BA"/>
    <w:rsid w:val="5A826F9C"/>
    <w:rsid w:val="605E5651"/>
    <w:rsid w:val="68B111BD"/>
    <w:rsid w:val="6C8265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誰汻誰天荒地鮱</cp:lastModifiedBy>
  <cp:lastPrinted>2019-03-27T03:10:00Z</cp:lastPrinted>
  <dcterms:modified xsi:type="dcterms:W3CDTF">2021-07-14T06:05:04Z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A275E83A907C410BB9A0A69F43263183</vt:lpwstr>
  </property>
</Properties>
</file>