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重庆竭锋机械制造有限公司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lang w:val="en-US" w:eastAsia="zh-CN"/>
              </w:rPr>
              <w:t>重庆市渝北区回兴兴科四路108号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唐燚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023-67196270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唐燚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0182-2019-Q-2021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工装、检具的设计生产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17.11.03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de-DE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2021年06月28日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2021年06月28日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17.11.03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2021年06月2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2021年06月2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</w:tcPr>
                <w:p>
                  <w:pPr>
                    <w:ind w:right="31" w:rightChars="13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6月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28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8：00-8：30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首次会议：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8：30-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（上次不符合发生在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7.1.5条款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行政部:</w:t>
                  </w:r>
                </w:p>
                <w:p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5.3组织的角色、职责和权限；6.2质量目标及其实现的策划；7.1.2人员；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7.1.3基础设施；7.1.4过程运行环境；7.1.6组织知识；7.2能力；7.3意识；7.4沟通；7.5文件化信息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9.2内部审核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5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供销部: </w:t>
                  </w:r>
                  <w:bookmarkStart w:id="18" w:name="_GoBack"/>
                  <w:bookmarkEnd w:id="18"/>
                </w:p>
                <w:p>
                  <w:pPr>
                    <w:rPr>
                      <w:rFonts w:hint="default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5.3组织的角色、职责和权限；6.2质量目标及其实现的策划；8.2产品和服务的要求8.4外部提供过程、产品和服务的控制；8.5.3顾客或外部供方的财产；8.5.5交付后的活动；9.1.2顾客满意；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AD048D"/>
    <w:rsid w:val="0EB40F22"/>
    <w:rsid w:val="10342D48"/>
    <w:rsid w:val="20052739"/>
    <w:rsid w:val="41542D23"/>
    <w:rsid w:val="579926CD"/>
    <w:rsid w:val="69A732A2"/>
    <w:rsid w:val="73335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2021-07-01T01:06:24Z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C0F70FAA30B84C169B6DC7DAD79AFDF3</vt:lpwstr>
  </property>
</Properties>
</file>