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北京泰裕商贸有限公司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Q:29.08.09</w:t>
            </w:r>
          </w:p>
          <w:p>
            <w:pPr>
              <w:spacing w:line="240" w:lineRule="exact"/>
              <w:jc w:val="center"/>
              <w:rPr>
                <w:b/>
                <w:color w:val="000000" w:themeColor="text1"/>
                <w:sz w:val="20"/>
                <w:szCs w:val="20"/>
              </w:rPr>
            </w:pPr>
            <w:r>
              <w:rPr>
                <w:b/>
                <w:color w:val="000000" w:themeColor="text1"/>
                <w:sz w:val="20"/>
                <w:szCs w:val="20"/>
              </w:rPr>
              <w:t>E:29.08.09</w:t>
            </w:r>
          </w:p>
          <w:p>
            <w:pPr>
              <w:spacing w:line="240" w:lineRule="exact"/>
              <w:jc w:val="center"/>
              <w:rPr>
                <w:b/>
                <w:color w:val="000000" w:themeColor="text1"/>
                <w:sz w:val="20"/>
                <w:szCs w:val="20"/>
              </w:rPr>
            </w:pPr>
            <w:r>
              <w:rPr>
                <w:b/>
                <w:color w:val="000000" w:themeColor="text1"/>
                <w:sz w:val="20"/>
                <w:szCs w:val="20"/>
              </w:rPr>
              <w:t>O:29.08.09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Q:29.08.09</w:t>
            </w:r>
          </w:p>
          <w:p>
            <w:pPr>
              <w:spacing w:line="240" w:lineRule="exact"/>
              <w:jc w:val="center"/>
              <w:rPr>
                <w:b/>
                <w:color w:val="000000" w:themeColor="text1"/>
                <w:sz w:val="20"/>
                <w:szCs w:val="20"/>
              </w:rPr>
            </w:pPr>
            <w:r>
              <w:rPr>
                <w:b/>
                <w:color w:val="000000" w:themeColor="text1"/>
                <w:sz w:val="20"/>
                <w:szCs w:val="20"/>
              </w:rPr>
              <w:t>E:29.08.09</w:t>
            </w:r>
          </w:p>
          <w:p>
            <w:pPr>
              <w:spacing w:line="240" w:lineRule="exact"/>
              <w:jc w:val="center"/>
              <w:rPr>
                <w:b/>
                <w:color w:val="000000" w:themeColor="text1"/>
                <w:sz w:val="20"/>
                <w:szCs w:val="20"/>
              </w:rPr>
            </w:pPr>
            <w:r>
              <w:rPr>
                <w:b/>
                <w:color w:val="000000" w:themeColor="text1"/>
                <w:sz w:val="20"/>
                <w:szCs w:val="20"/>
              </w:rPr>
              <w:t>O:29.08.09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北京泰裕商贸有限公司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北京市通州区经济开发区聚富苑产业园区聚和六街1号-639</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101127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北京市朝阳区大羊坊路89号新华国际广场D805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刘玲玲</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18618232583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邓国洋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刘玲玲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Q：窗帘的销售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E：窗帘的销售所涉及场所的相关环境管理活动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O：窗帘的销售所涉及场所的相关职业健康安全管理活动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Q：29.08.09</w:t>
            </w:r>
          </w:p>
          <w:p>
            <w:pPr>
              <w:spacing w:line="320" w:lineRule="exact"/>
              <w:rPr>
                <w:rFonts w:ascii="宋体" w:hAnsi="宋体"/>
                <w:b/>
                <w:color w:val="000000" w:themeColor="text1"/>
                <w:sz w:val="20"/>
                <w:szCs w:val="20"/>
              </w:rPr>
            </w:pPr>
            <w:r>
              <w:rPr>
                <w:rFonts w:ascii="宋体" w:hAnsi="宋体"/>
                <w:b/>
                <w:color w:val="000000" w:themeColor="text1"/>
                <w:sz w:val="20"/>
                <w:szCs w:val="20"/>
              </w:rPr>
              <w:t>E：29.08.09</w:t>
            </w:r>
          </w:p>
          <w:p>
            <w:pPr>
              <w:spacing w:line="320" w:lineRule="exact"/>
              <w:rPr>
                <w:rFonts w:ascii="宋体" w:hAnsi="宋体"/>
                <w:b/>
                <w:color w:val="000000" w:themeColor="text1"/>
                <w:sz w:val="20"/>
                <w:szCs w:val="20"/>
              </w:rPr>
            </w:pPr>
            <w:r>
              <w:rPr>
                <w:rFonts w:ascii="宋体" w:hAnsi="宋体"/>
                <w:b/>
                <w:color w:val="000000" w:themeColor="text1"/>
                <w:sz w:val="20"/>
                <w:szCs w:val="20"/>
              </w:rPr>
              <w:t>O：29.08.09</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bCs/>
                <w:sz w:val="21"/>
                <w:szCs w:val="21"/>
              </w:rPr>
              <w:t>管理层(含员工代表</w:t>
            </w:r>
            <w:r>
              <w:rPr>
                <w:rFonts w:hint="eastAsia" w:ascii="宋体" w:hAnsi="宋体"/>
                <w:b/>
                <w:bCs/>
                <w:sz w:val="21"/>
                <w:szCs w:val="21"/>
                <w:lang w:eastAsia="zh-CN"/>
              </w:rPr>
              <w:t>）</w:t>
            </w:r>
          </w:p>
        </w:tc>
        <w:tc>
          <w:tcPr>
            <w:tcW w:w="6804" w:type="dxa"/>
          </w:tcPr>
          <w:p>
            <w:pPr>
              <w:jc w:val="center"/>
              <w:rPr>
                <w:rFonts w:ascii="宋体" w:hAnsi="宋体"/>
                <w:b/>
                <w:color w:val="000000" w:themeColor="text1"/>
                <w:spacing w:val="-20"/>
                <w:sz w:val="20"/>
                <w:szCs w:val="20"/>
                <w:u w:val="single"/>
              </w:rPr>
            </w:pPr>
            <w:r>
              <w:rPr>
                <w:rFonts w:hint="eastAsia" w:ascii="宋体" w:hAnsi="宋体"/>
                <w:b/>
                <w:bCs/>
                <w:sz w:val="21"/>
                <w:szCs w:val="21"/>
              </w:rPr>
              <w:t>体系策划、职责分配、资源支持、重大风险/重要环境因素德控制、管理评审实施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bCs/>
                <w:sz w:val="21"/>
                <w:szCs w:val="21"/>
                <w:lang w:val="en-US" w:eastAsia="zh-CN"/>
              </w:rPr>
              <w:t>销售部</w:t>
            </w:r>
          </w:p>
        </w:tc>
        <w:tc>
          <w:tcPr>
            <w:tcW w:w="6804" w:type="dxa"/>
          </w:tcPr>
          <w:p>
            <w:pPr>
              <w:pStyle w:val="3"/>
              <w:rPr>
                <w:rFonts w:ascii="宋体" w:hAnsi="宋体"/>
                <w:b/>
                <w:color w:val="000000" w:themeColor="text1"/>
                <w:spacing w:val="-20"/>
                <w:sz w:val="20"/>
                <w:szCs w:val="20"/>
                <w:u w:val="single"/>
              </w:rPr>
            </w:pPr>
            <w:r>
              <w:rPr>
                <w:rFonts w:hint="eastAsia" w:ascii="宋体" w:hAnsi="宋体"/>
                <w:b/>
                <w:bCs/>
                <w:sz w:val="21"/>
                <w:szCs w:val="21"/>
              </w:rPr>
              <w:t>部门职责、</w:t>
            </w:r>
            <w:r>
              <w:rPr>
                <w:rFonts w:hint="eastAsia" w:ascii="宋体" w:hAnsi="宋体"/>
                <w:b/>
                <w:bCs/>
                <w:sz w:val="21"/>
                <w:szCs w:val="21"/>
                <w:lang w:val="en-US" w:eastAsia="zh-CN"/>
              </w:rPr>
              <w:t>QEO/</w:t>
            </w:r>
            <w:r>
              <w:rPr>
                <w:rFonts w:hint="eastAsia" w:ascii="宋体" w:hAnsi="宋体"/>
                <w:b/>
                <w:bCs/>
                <w:sz w:val="21"/>
                <w:szCs w:val="21"/>
              </w:rPr>
              <w:t>HSE目标指标及完成情况、环境因素危险源识别、采购、销售情况、顾客满意度调查、采购，销售过程沟通、参与和协商、运行控制、不符合纠正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ascii="宋体" w:hAnsi="宋体"/>
                <w:b/>
                <w:color w:val="000000" w:themeColor="text1"/>
                <w:sz w:val="20"/>
                <w:szCs w:val="20"/>
              </w:rPr>
            </w:pPr>
            <w:r>
              <w:rPr>
                <w:rFonts w:hint="eastAsia" w:ascii="宋体" w:hAnsi="宋体" w:cs="Times New Roman"/>
                <w:b/>
                <w:bCs/>
                <w:kern w:val="2"/>
                <w:sz w:val="21"/>
                <w:szCs w:val="21"/>
                <w:lang w:val="en-US" w:eastAsia="zh-CN" w:bidi="ar-SA"/>
              </w:rPr>
              <w:t>综合</w:t>
            </w:r>
            <w:r>
              <w:rPr>
                <w:rFonts w:hint="eastAsia" w:ascii="宋体" w:hAnsi="宋体" w:eastAsia="宋体" w:cs="Times New Roman"/>
                <w:b/>
                <w:bCs/>
                <w:kern w:val="2"/>
                <w:sz w:val="21"/>
                <w:szCs w:val="21"/>
                <w:lang w:val="en-US" w:eastAsia="zh-CN" w:bidi="ar-SA"/>
              </w:rPr>
              <w:t>部(含财务）</w:t>
            </w:r>
          </w:p>
        </w:tc>
        <w:tc>
          <w:tcPr>
            <w:tcW w:w="6804" w:type="dxa"/>
          </w:tcPr>
          <w:p>
            <w:pPr>
              <w:jc w:val="center"/>
              <w:rPr>
                <w:rFonts w:ascii="宋体" w:hAnsi="宋体"/>
                <w:b/>
                <w:color w:val="000000" w:themeColor="text1"/>
                <w:spacing w:val="-20"/>
                <w:sz w:val="20"/>
                <w:szCs w:val="20"/>
                <w:u w:val="single"/>
              </w:rPr>
            </w:pPr>
            <w:r>
              <w:rPr>
                <w:rFonts w:hint="eastAsia" w:ascii="宋体" w:hAnsi="宋体" w:eastAsia="宋体" w:cs="Times New Roman"/>
                <w:b/>
                <w:bCs/>
                <w:kern w:val="2"/>
                <w:sz w:val="21"/>
                <w:szCs w:val="21"/>
                <w:lang w:val="en-US" w:eastAsia="zh-CN" w:bidi="ar-SA"/>
              </w:rPr>
              <w:t>部门职责、QEO目标指标及完成情况、合规性评价、环境因素危险源识别、文件控制、法律法规的收集、人力资源管理、QEO/HSE运行控制、内外部信息沟通交流、应急管理、绩效测量、HSE体系内审、事故事件管理、不符合纠正、记录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p>
        </w:tc>
        <w:tc>
          <w:tcPr>
            <w:tcW w:w="2519" w:type="dxa"/>
          </w:tcPr>
          <w:p>
            <w:pPr>
              <w:rPr>
                <w:b/>
                <w:color w:val="000000" w:themeColor="text1"/>
                <w:sz w:val="20"/>
                <w:szCs w:val="20"/>
              </w:rPr>
            </w:pPr>
            <w:r>
              <w:rPr>
                <w:rFonts w:hint="eastAsia"/>
                <w:b/>
                <w:color w:val="000000" w:themeColor="text1"/>
                <w:sz w:val="20"/>
                <w:szCs w:val="20"/>
                <w:lang w:val="en-US" w:eastAsia="zh-CN"/>
              </w:rPr>
              <w:t>窗帘的销售</w:t>
            </w: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4</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ascii="宋体" w:hAnsi="宋体" w:eastAsia="宋体" w:cs="Times New Roman"/>
                <w:bCs/>
                <w:sz w:val="18"/>
                <w:szCs w:val="18"/>
              </w:rPr>
            </w:pPr>
            <w:r>
              <w:rPr>
                <w:b/>
                <w:color w:val="000000" w:themeColor="text1"/>
                <w:sz w:val="20"/>
                <w:szCs w:val="20"/>
              </w:rPr>
              <w:t>1、</w:t>
            </w:r>
            <w:r>
              <w:rPr>
                <w:rFonts w:hint="eastAsia"/>
                <w:b/>
                <w:color w:val="000000" w:themeColor="text1"/>
                <w:sz w:val="20"/>
                <w:szCs w:val="20"/>
              </w:rPr>
              <w:t>组织及其环境的识别情况</w:t>
            </w:r>
            <w:r>
              <w:rPr>
                <w:rFonts w:hint="eastAsia" w:ascii="宋体" w:hAnsi="宋体" w:eastAsia="宋体" w:cs="Times New Roman"/>
                <w:bCs/>
                <w:sz w:val="18"/>
                <w:szCs w:val="18"/>
              </w:rPr>
              <w:t>公司于20</w:t>
            </w:r>
            <w:r>
              <w:rPr>
                <w:rFonts w:hint="eastAsia" w:ascii="宋体" w:hAnsi="宋体" w:eastAsia="宋体" w:cs="Times New Roman"/>
                <w:bCs/>
                <w:sz w:val="18"/>
                <w:szCs w:val="18"/>
                <w:lang w:val="en-US" w:eastAsia="zh-CN"/>
              </w:rPr>
              <w:t>21</w:t>
            </w:r>
            <w:r>
              <w:rPr>
                <w:rFonts w:hint="eastAsia" w:ascii="宋体" w:hAnsi="宋体" w:eastAsia="宋体" w:cs="Times New Roman"/>
                <w:bCs/>
                <w:sz w:val="18"/>
                <w:szCs w:val="18"/>
              </w:rPr>
              <w:t xml:space="preserve">年1月 </w:t>
            </w:r>
            <w:r>
              <w:rPr>
                <w:rFonts w:hint="eastAsia" w:ascii="宋体" w:hAnsi="宋体" w:eastAsia="宋体" w:cs="Times New Roman"/>
                <w:bCs/>
                <w:sz w:val="18"/>
                <w:szCs w:val="18"/>
                <w:lang w:val="en-US" w:eastAsia="zh-CN"/>
              </w:rPr>
              <w:t>4</w:t>
            </w:r>
            <w:r>
              <w:rPr>
                <w:rFonts w:hint="eastAsia" w:ascii="宋体" w:hAnsi="宋体" w:eastAsia="宋体" w:cs="Times New Roman"/>
                <w:bCs/>
                <w:sz w:val="18"/>
                <w:szCs w:val="18"/>
              </w:rPr>
              <w:t xml:space="preserve">日发布实施了GB/T19001-2016 IDT ISO9001:2015  </w:t>
            </w:r>
          </w:p>
          <w:p>
            <w:pPr>
              <w:spacing w:line="240" w:lineRule="exact"/>
              <w:rPr>
                <w:rFonts w:hint="eastAsia" w:ascii="宋体" w:hAnsi="宋体" w:eastAsia="宋体" w:cs="Times New Roman"/>
                <w:bCs/>
                <w:sz w:val="18"/>
                <w:szCs w:val="18"/>
              </w:rPr>
            </w:pPr>
            <w:r>
              <w:rPr>
                <w:rFonts w:hint="eastAsia" w:ascii="宋体" w:hAnsi="宋体" w:eastAsia="宋体" w:cs="Times New Roman"/>
                <w:bCs/>
                <w:sz w:val="18"/>
                <w:szCs w:val="18"/>
              </w:rPr>
              <w:t>GB/T24001-2016 IDT ISO14001-2015  ISO45001:2018版质量</w:t>
            </w:r>
            <w:r>
              <w:rPr>
                <w:rFonts w:hint="eastAsia" w:ascii="宋体" w:hAnsi="宋体" w:eastAsia="宋体" w:cs="Times New Roman"/>
                <w:bCs/>
                <w:sz w:val="18"/>
                <w:szCs w:val="18"/>
                <w:lang w:val="en-US" w:eastAsia="zh-CN"/>
              </w:rPr>
              <w:t>环境安全</w:t>
            </w:r>
            <w:r>
              <w:rPr>
                <w:rFonts w:hint="eastAsia" w:ascii="宋体" w:hAnsi="宋体" w:eastAsia="宋体" w:cs="Times New Roman"/>
                <w:bCs/>
                <w:sz w:val="18"/>
                <w:szCs w:val="18"/>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rFonts w:hint="eastAsia" w:ascii="宋体" w:hAnsi="宋体"/>
                <w:bCs/>
                <w:sz w:val="18"/>
                <w:szCs w:val="18"/>
              </w:rPr>
            </w:pPr>
            <w:r>
              <w:rPr>
                <w:rFonts w:hint="eastAsia" w:ascii="宋体" w:hAnsi="宋体"/>
                <w:bCs/>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企业</w:t>
            </w:r>
            <w:r>
              <w:rPr>
                <w:rFonts w:hint="eastAsia" w:ascii="宋体" w:hAnsi="宋体"/>
                <w:bCs/>
                <w:sz w:val="18"/>
                <w:szCs w:val="18"/>
                <w:lang w:val="en-US" w:eastAsia="zh-CN"/>
              </w:rPr>
              <w:t>2015</w:t>
            </w:r>
            <w:r>
              <w:rPr>
                <w:rFonts w:hint="eastAsia" w:ascii="宋体" w:hAnsi="宋体"/>
                <w:bCs/>
                <w:sz w:val="18"/>
                <w:szCs w:val="18"/>
              </w:rPr>
              <w:t>年</w:t>
            </w:r>
            <w:r>
              <w:rPr>
                <w:rFonts w:hint="eastAsia" w:ascii="宋体" w:hAnsi="宋体"/>
                <w:bCs/>
                <w:sz w:val="18"/>
                <w:szCs w:val="18"/>
                <w:lang w:val="en-US" w:eastAsia="zh-CN"/>
              </w:rPr>
              <w:t>6</w:t>
            </w:r>
            <w:r>
              <w:rPr>
                <w:rFonts w:hint="eastAsia" w:ascii="宋体" w:hAnsi="宋体"/>
                <w:bCs/>
                <w:sz w:val="18"/>
                <w:szCs w:val="18"/>
              </w:rPr>
              <w:t>月成立，一致从事</w:t>
            </w:r>
            <w:r>
              <w:rPr>
                <w:rFonts w:hint="eastAsia" w:ascii="宋体" w:hAnsi="宋体"/>
                <w:bCs/>
                <w:sz w:val="18"/>
                <w:szCs w:val="18"/>
                <w:lang w:val="en-US" w:eastAsia="zh-CN"/>
              </w:rPr>
              <w:t>窗帘</w:t>
            </w:r>
            <w:r>
              <w:rPr>
                <w:rFonts w:hint="eastAsia" w:ascii="宋体" w:hAnsi="宋体"/>
                <w:bCs/>
                <w:sz w:val="18"/>
                <w:szCs w:val="18"/>
              </w:rPr>
              <w:t>销售，在多年的服务过程中，未发生客户投诉情况。产品成本、人工成本不断上涨。企业销售产品以中高端为主，市场形势比低端市场要好。</w:t>
            </w:r>
          </w:p>
          <w:p>
            <w:pPr>
              <w:spacing w:line="240" w:lineRule="exact"/>
              <w:rPr>
                <w:rFonts w:hint="eastAsia" w:ascii="宋体" w:hAnsi="宋体"/>
                <w:bCs/>
                <w:sz w:val="18"/>
                <w:szCs w:val="18"/>
                <w:lang w:val="en-US" w:eastAsia="zh-CN"/>
              </w:rPr>
            </w:pPr>
            <w:r>
              <w:rPr>
                <w:rFonts w:hint="eastAsia" w:ascii="宋体" w:hAnsi="宋体"/>
                <w:bCs/>
                <w:sz w:val="18"/>
                <w:szCs w:val="18"/>
                <w:lang w:val="en-US" w:eastAsia="zh-CN"/>
              </w:rPr>
              <w:t>本年度疫情对企业影响不大，企业经营管理按照南邵镇政府下发文件进行，每天消毒、人员佩戴口罩。目前企业所在开发区无病例。</w:t>
            </w:r>
          </w:p>
          <w:p>
            <w:pPr>
              <w:spacing w:line="240" w:lineRule="exact"/>
              <w:rPr>
                <w:b/>
                <w:color w:val="000000" w:themeColor="text1"/>
                <w:sz w:val="20"/>
                <w:szCs w:val="20"/>
              </w:rPr>
            </w:pPr>
            <w:r>
              <w:rPr>
                <w:rFonts w:hint="eastAsia" w:ascii="宋体" w:hAnsi="宋体"/>
                <w:bCs/>
                <w:sz w:val="18"/>
                <w:szCs w:val="18"/>
              </w:rPr>
              <w:t>对内外部环境进行了识别。识别充分，符合要求。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宋体" w:hAnsi="宋体" w:eastAsia="宋体" w:cs="Times New Roman"/>
                <w:bCs/>
                <w:sz w:val="18"/>
                <w:szCs w:val="18"/>
              </w:rPr>
            </w:pPr>
            <w:r>
              <w:rPr>
                <w:b/>
                <w:color w:val="000000" w:themeColor="text1"/>
                <w:sz w:val="20"/>
                <w:szCs w:val="20"/>
              </w:rPr>
              <w:t>2、</w:t>
            </w:r>
            <w:r>
              <w:rPr>
                <w:rFonts w:hint="eastAsia"/>
                <w:b/>
                <w:color w:val="000000" w:themeColor="text1"/>
                <w:sz w:val="20"/>
                <w:szCs w:val="20"/>
              </w:rPr>
              <w:t>相关方需求和期望识别情况</w:t>
            </w:r>
            <w:r>
              <w:rPr>
                <w:rFonts w:hint="eastAsia" w:ascii="宋体" w:hAnsi="宋体" w:eastAsia="宋体" w:cs="Times New Roman"/>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spacing w:line="240" w:lineRule="exact"/>
              <w:rPr>
                <w:rFonts w:hint="eastAsia" w:ascii="宋体" w:hAnsi="宋体" w:eastAsia="宋体" w:cs="Times New Roman"/>
                <w:bCs/>
                <w:sz w:val="18"/>
                <w:szCs w:val="18"/>
              </w:rPr>
            </w:pPr>
            <w:r>
              <w:rPr>
                <w:rFonts w:hint="eastAsia" w:ascii="宋体" w:hAnsi="宋体" w:eastAsia="宋体" w:cs="Times New Roman"/>
                <w:bCs/>
                <w:sz w:val="18"/>
                <w:szCs w:val="18"/>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p>
            <w:pPr>
              <w:spacing w:line="240" w:lineRule="exact"/>
              <w:rPr>
                <w:b/>
                <w:color w:val="000000" w:themeColor="text1"/>
                <w:sz w:val="20"/>
                <w:szCs w:val="20"/>
              </w:rPr>
            </w:pPr>
            <w:r>
              <w:rPr>
                <w:rFonts w:hint="eastAsia" w:ascii="宋体" w:hAnsi="宋体" w:eastAsia="宋体" w:cs="Times New Roman"/>
                <w:bCs/>
                <w:sz w:val="18"/>
                <w:szCs w:val="18"/>
                <w:lang w:val="en-US" w:eastAsia="zh-CN"/>
              </w:rPr>
              <w:t>相关方需求无变更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
                <w:color w:val="000000" w:themeColor="text1"/>
              </w:rPr>
            </w:pPr>
            <w:r>
              <w:rPr>
                <w:rFonts w:hint="eastAsia" w:ascii="宋体" w:hAnsi="宋体" w:eastAsia="宋体" w:cs="Times New Roman"/>
                <w:bCs/>
                <w:sz w:val="18"/>
                <w:szCs w:val="18"/>
              </w:rPr>
              <w:t>企业策划并制定了质量</w:t>
            </w:r>
            <w:r>
              <w:rPr>
                <w:rFonts w:hint="eastAsia" w:ascii="宋体" w:hAnsi="宋体" w:eastAsia="宋体" w:cs="Times New Roman"/>
                <w:bCs/>
                <w:sz w:val="18"/>
                <w:szCs w:val="18"/>
                <w:lang w:val="en-US" w:eastAsia="zh-CN"/>
              </w:rPr>
              <w:t>环境安全</w:t>
            </w:r>
            <w:r>
              <w:rPr>
                <w:rFonts w:hint="eastAsia" w:ascii="宋体" w:hAnsi="宋体" w:eastAsia="宋体" w:cs="Times New Roman"/>
                <w:bCs/>
                <w:sz w:val="18"/>
                <w:szCs w:val="18"/>
              </w:rPr>
              <w:t>方针：“</w:t>
            </w:r>
            <w:r>
              <w:rPr>
                <w:rFonts w:hint="eastAsia" w:ascii="宋体" w:hAnsi="宋体" w:eastAsia="宋体" w:cs="Times New Roman"/>
                <w:bCs/>
                <w:sz w:val="18"/>
                <w:szCs w:val="18"/>
                <w:lang w:val="en-US" w:eastAsia="zh-CN"/>
              </w:rPr>
              <w:t xml:space="preserve"> </w:t>
            </w:r>
            <w:r>
              <w:rPr>
                <w:rFonts w:hint="eastAsia" w:ascii="宋体" w:hAnsi="宋体" w:eastAsia="宋体" w:cs="Times New Roman"/>
                <w:bCs/>
                <w:sz w:val="18"/>
                <w:szCs w:val="18"/>
              </w:rPr>
              <w:t>诚信守法，规范技术服务；预防污染，关注健康安全；降低风险，减少人员伤害；持续改进，满足顾客需求”</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方针在手册中予以规定，经总经理批准实施。质量</w:t>
            </w:r>
            <w:r>
              <w:rPr>
                <w:rFonts w:hint="eastAsia" w:ascii="宋体" w:hAnsi="宋体" w:eastAsia="宋体" w:cs="Times New Roman"/>
                <w:bCs/>
                <w:sz w:val="18"/>
                <w:szCs w:val="18"/>
                <w:lang w:val="en-US" w:eastAsia="zh-CN"/>
              </w:rPr>
              <w:t>环境安全</w:t>
            </w:r>
            <w:r>
              <w:rPr>
                <w:rFonts w:hint="eastAsia" w:ascii="宋体" w:hAnsi="宋体" w:eastAsia="宋体" w:cs="Times New Roman"/>
                <w:bCs/>
                <w:sz w:val="18"/>
                <w:szCs w:val="18"/>
              </w:rPr>
              <w:t>方针体现了标准的要求，包括：公司的宗旨和环境并支持其战略方向，为目标制定了框架，满足适用要求的承诺，持续改进质量</w:t>
            </w:r>
            <w:r>
              <w:rPr>
                <w:rFonts w:hint="eastAsia" w:ascii="宋体" w:hAnsi="宋体" w:eastAsia="宋体" w:cs="Times New Roman"/>
                <w:bCs/>
                <w:sz w:val="18"/>
                <w:szCs w:val="18"/>
                <w:lang w:val="en-US" w:eastAsia="zh-CN"/>
              </w:rPr>
              <w:t>环境安全</w:t>
            </w:r>
            <w:r>
              <w:rPr>
                <w:rFonts w:hint="eastAsia" w:ascii="宋体" w:hAnsi="宋体" w:eastAsia="宋体" w:cs="Times New Roman"/>
                <w:bCs/>
                <w:sz w:val="18"/>
                <w:szCs w:val="18"/>
              </w:rPr>
              <w:t>管理体系的承诺，通过会议、文件、网络宣传等形式进行贯彻，可为相关方获取。质量</w:t>
            </w:r>
            <w:r>
              <w:rPr>
                <w:rFonts w:hint="eastAsia" w:ascii="宋体" w:hAnsi="宋体" w:eastAsia="宋体" w:cs="Times New Roman"/>
                <w:bCs/>
                <w:sz w:val="18"/>
                <w:szCs w:val="18"/>
                <w:lang w:val="en-US" w:eastAsia="zh-CN"/>
              </w:rPr>
              <w:t>环境安全</w:t>
            </w:r>
            <w:r>
              <w:rPr>
                <w:rFonts w:hint="eastAsia" w:ascii="宋体" w:hAnsi="宋体" w:eastAsia="宋体" w:cs="Times New Roman"/>
                <w:bCs/>
                <w:sz w:val="18"/>
                <w:szCs w:val="18"/>
              </w:rPr>
              <w:t>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sz w:val="18"/>
                <w:szCs w:val="18"/>
              </w:rPr>
            </w:pPr>
            <w:r>
              <w:rPr>
                <w:b/>
                <w:color w:val="000000" w:themeColor="text1"/>
              </w:rPr>
              <w:t>4、</w:t>
            </w:r>
            <w:r>
              <w:rPr>
                <w:rFonts w:hint="eastAsia"/>
                <w:b/>
                <w:color w:val="000000" w:themeColor="text1"/>
              </w:rPr>
              <w:t>风险识别与控制策划（QMS）</w:t>
            </w:r>
            <w:r>
              <w:rPr>
                <w:rFonts w:hint="eastAsia"/>
                <w:sz w:val="18"/>
                <w:szCs w:val="18"/>
              </w:rPr>
              <w:t>企业目前识别风险点：</w:t>
            </w:r>
          </w:p>
          <w:p>
            <w:pPr>
              <w:rPr>
                <w:sz w:val="18"/>
                <w:szCs w:val="18"/>
              </w:rPr>
            </w:pPr>
            <w:r>
              <w:rPr>
                <w:rFonts w:hint="eastAsia"/>
                <w:sz w:val="18"/>
                <w:szCs w:val="18"/>
              </w:rPr>
              <w:t>风险点：内部</w:t>
            </w:r>
            <w:r>
              <w:rPr>
                <w:rFonts w:hint="eastAsia"/>
                <w:sz w:val="18"/>
                <w:szCs w:val="18"/>
                <w:lang w:val="en-US" w:eastAsia="zh-CN"/>
              </w:rPr>
              <w:t>:</w:t>
            </w:r>
            <w:r>
              <w:rPr>
                <w:rFonts w:hint="eastAsia"/>
                <w:sz w:val="18"/>
                <w:szCs w:val="18"/>
              </w:rPr>
              <w:t>管理风险：1.领导对管理体系不重视，没有履行足够的承诺。2.未能配置足够的资源；（措施：1.在管理体系中重点体现总经理的作用，确保总经理能够履行承诺。2.通过对体系的监视和测量，配置足够的资源。）</w:t>
            </w:r>
          </w:p>
          <w:p>
            <w:pPr>
              <w:rPr>
                <w:sz w:val="18"/>
                <w:szCs w:val="18"/>
              </w:rPr>
            </w:pPr>
            <w:r>
              <w:rPr>
                <w:rFonts w:hint="eastAsia"/>
                <w:sz w:val="18"/>
                <w:szCs w:val="18"/>
              </w:rPr>
              <w:t>内部</w:t>
            </w:r>
          </w:p>
          <w:p>
            <w:pPr>
              <w:rPr>
                <w:sz w:val="18"/>
                <w:szCs w:val="18"/>
              </w:rPr>
            </w:pPr>
            <w:r>
              <w:rPr>
                <w:rFonts w:hint="eastAsia"/>
                <w:sz w:val="18"/>
                <w:szCs w:val="18"/>
              </w:rPr>
              <w:t>人员管理风险：公司人员不足，相对流动性大。（措施：人员招聘和培训）。。。。。。。。。</w:t>
            </w:r>
          </w:p>
          <w:p>
            <w:pPr>
              <w:spacing w:line="240" w:lineRule="exact"/>
              <w:rPr>
                <w:b/>
                <w:color w:val="000000" w:themeColor="text1"/>
              </w:rPr>
            </w:pPr>
            <w:r>
              <w:rPr>
                <w:rFonts w:hint="eastAsia"/>
                <w:sz w:val="18"/>
                <w:szCs w:val="18"/>
              </w:rPr>
              <w:t>企业为销售行业，采购产品后，客户打款后发货，基本无大风险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Times New Roman" w:hAnsi="Times New Roman" w:eastAsia="宋体" w:cs="Times New Roman"/>
                <w:sz w:val="18"/>
                <w:szCs w:val="18"/>
              </w:rPr>
            </w:pPr>
            <w:r>
              <w:rPr>
                <w:rFonts w:hint="eastAsia" w:ascii="宋体" w:hAnsi="宋体"/>
                <w:b/>
                <w:color w:val="000000" w:themeColor="text1"/>
                <w:sz w:val="20"/>
                <w:szCs w:val="20"/>
              </w:rPr>
              <w:t>质量管理体系过程有：</w:t>
            </w:r>
            <w:r>
              <w:rPr>
                <w:rFonts w:hint="eastAsia" w:ascii="Times New Roman" w:hAnsi="Times New Roman" w:eastAsia="宋体" w:cs="Times New Roman"/>
                <w:sz w:val="18"/>
                <w:szCs w:val="18"/>
              </w:rPr>
              <w:t>业务洽谈 —签订合同—供方评价采购—验收--发货检验—售后服务</w:t>
            </w:r>
          </w:p>
          <w:p>
            <w:pPr>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sz w:val="18"/>
                <w:szCs w:val="18"/>
                <w:u w:val="single"/>
                <w:lang w:val="en-US" w:eastAsia="zh-CN"/>
              </w:rPr>
              <w:t>质检</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sz w:val="18"/>
                <w:szCs w:val="18"/>
                <w:u w:val="single"/>
                <w:lang w:val="en-US" w:eastAsia="zh-CN"/>
              </w:rPr>
              <w:t>销售</w:t>
            </w:r>
            <w:r>
              <w:rPr>
                <w:rFonts w:hint="eastAsia"/>
                <w:sz w:val="18"/>
                <w:szCs w:val="18"/>
                <w:u w:val="single"/>
              </w:rPr>
              <w:t>过程</w:t>
            </w:r>
            <w:r>
              <w:rPr>
                <w:rFonts w:hint="eastAsia"/>
                <w:sz w:val="18"/>
                <w:szCs w:val="18"/>
                <w:u w:val="single"/>
                <w:lang w:val="en-US" w:eastAsia="zh-CN"/>
              </w:rPr>
              <w:t xml:space="preserve">             </w:t>
            </w:r>
            <w:r>
              <w:rPr>
                <w:rFonts w:hint="eastAsia"/>
                <w:sz w:val="18"/>
                <w:szCs w:val="18"/>
                <w:u w:val="single"/>
                <w:lang w:eastAsia="zh-CN"/>
              </w:rPr>
              <w:t>；</w:t>
            </w:r>
          </w:p>
          <w:p>
            <w:pPr>
              <w:rPr>
                <w:rFonts w:hint="eastAsia"/>
                <w:sz w:val="18"/>
                <w:szCs w:val="18"/>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8.3 </w:t>
            </w:r>
            <w:r>
              <w:rPr>
                <w:rFonts w:hint="eastAsia" w:ascii="宋体" w:hAnsi="宋体"/>
                <w:b/>
                <w:color w:val="000000" w:themeColor="text1"/>
                <w:sz w:val="20"/>
                <w:szCs w:val="20"/>
              </w:rPr>
              <w:t xml:space="preserve"> ，不适用理由： </w:t>
            </w:r>
            <w:r>
              <w:rPr>
                <w:rFonts w:hint="eastAsia"/>
                <w:sz w:val="18"/>
                <w:szCs w:val="18"/>
                <w:lang w:val="en-US" w:eastAsia="zh-CN"/>
              </w:rPr>
              <w:t>依据顾客要求/客户技术文件进行销售，8.3不适用不影响企业对产品应承担责任</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default" w:eastAsia="宋体"/>
                <w:b/>
                <w:color w:val="000000" w:themeColor="text1"/>
                <w:sz w:val="20"/>
                <w:szCs w:val="20"/>
                <w:lang w:val="en-US" w:eastAsia="zh-CN"/>
              </w:rPr>
            </w:pPr>
            <w:r>
              <w:rPr>
                <w:rFonts w:hint="eastAsia" w:ascii="Times New Roman" w:hAnsi="Times New Roman" w:eastAsia="宋体" w:cs="Times New Roman"/>
                <w:sz w:val="18"/>
                <w:szCs w:val="18"/>
                <w:lang w:val="en-US" w:eastAsia="zh-CN"/>
              </w:rPr>
              <w:t>固废的产生（包材等）、生活污水排放、潜在火灾等；重要环境因素：火灾——识别及评价基本合理；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rPr>
            </w:pPr>
            <w:r>
              <w:rPr>
                <w:rFonts w:hint="eastAsia"/>
                <w:b/>
                <w:bCs/>
              </w:rPr>
              <w:t xml:space="preserve">7. </w:t>
            </w:r>
            <w:r>
              <w:rPr>
                <w:b/>
                <w:bCs/>
              </w:rPr>
              <w:t>OHSMS</w:t>
            </w:r>
            <w:r>
              <w:rPr>
                <w:rFonts w:hint="eastAsia"/>
                <w:b/>
                <w:bCs/>
              </w:rPr>
              <w:t>职业健康安全危险源</w:t>
            </w:r>
          </w:p>
          <w:p>
            <w:pPr>
              <w:spacing w:line="300" w:lineRule="exact"/>
              <w:rPr>
                <w:rFonts w:hint="eastAsia" w:ascii="Times New Roman" w:hAnsi="Times New Roman" w:eastAsia="宋体" w:cs="Times New Roman"/>
              </w:rPr>
            </w:pPr>
            <w:r>
              <w:rPr>
                <w:rFonts w:hint="eastAsia"/>
              </w:rPr>
              <w:t>（职业健康安全危险源辨识是否充分、风险评价合理</w:t>
            </w:r>
            <w:r>
              <w:rPr>
                <w:rFonts w:hint="eastAsia" w:ascii="Times New Roman" w:hAnsi="Times New Roman" w:eastAsia="宋体" w:cs="Times New Roman"/>
              </w:rPr>
              <w:t>性，以及风险评价动态变更的及时性等）</w:t>
            </w:r>
          </w:p>
          <w:p>
            <w:pPr>
              <w:spacing w:line="300" w:lineRule="exact"/>
              <w:rPr>
                <w:rFonts w:hint="default" w:eastAsia="宋体"/>
                <w:lang w:val="en-US" w:eastAsia="zh-CN"/>
              </w:rPr>
            </w:pPr>
            <w:r>
              <w:rPr>
                <w:rFonts w:hint="eastAsia" w:ascii="Times New Roman" w:hAnsi="Times New Roman" w:eastAsia="宋体" w:cs="Times New Roman"/>
                <w:lang w:val="en-US" w:eastAsia="zh-CN"/>
              </w:rPr>
              <w:t>：火灾、触电、上下班及出差路途安全风险等、识别准确评价合理；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质量目标</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订单履约率100%。</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顾客满意度95%以上。</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 xml:space="preserve">    环境目标和指标</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环境污染事故为零。</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职业健康安全目标和指标</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 xml:space="preserve">    杜绝各类重伤以上事故，且事故发生率为 零； </w:t>
            </w:r>
          </w:p>
          <w:p>
            <w:pPr>
              <w:spacing w:line="300" w:lineRule="exact"/>
              <w:rPr>
                <w:rFonts w:hint="eastAsia" w:ascii="Times New Roman" w:hAnsi="Times New Roman" w:eastAsia="宋体" w:cs="Times New Roman"/>
                <w:lang w:eastAsia="zh-CN"/>
              </w:rPr>
            </w:pPr>
            <w:r>
              <w:rPr>
                <w:rFonts w:hint="eastAsia" w:ascii="Times New Roman" w:hAnsi="Times New Roman" w:eastAsia="宋体" w:cs="Times New Roman"/>
              </w:rPr>
              <w:t>杜绝火灾事故，火灾事故发生率为零</w:t>
            </w:r>
            <w:r>
              <w:rPr>
                <w:rFonts w:hint="eastAsia" w:ascii="Times New Roman" w:hAnsi="Times New Roman" w:eastAsia="宋体" w:cs="Times New Roman"/>
                <w:lang w:eastAsia="zh-CN"/>
              </w:rPr>
              <w:t>；</w:t>
            </w:r>
          </w:p>
          <w:p>
            <w:pPr>
              <w:pStyle w:val="2"/>
              <w:rPr>
                <w:rFonts w:ascii="宋体" w:hAnsi="宋体"/>
                <w:b/>
                <w:color w:val="000000" w:themeColor="text1"/>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方案基本有效、符合实际情况、查2021年以来目标指标基本实现；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sz w:val="18"/>
                <w:szCs w:val="18"/>
              </w:rPr>
            </w:pPr>
            <w:r>
              <w:rPr>
                <w:rFonts w:hint="eastAsia"/>
                <w:sz w:val="18"/>
                <w:szCs w:val="18"/>
              </w:rPr>
              <w:t>执行公司《文件控制程序》《记录控制程序》</w:t>
            </w:r>
          </w:p>
          <w:p>
            <w:pPr>
              <w:rPr>
                <w:sz w:val="18"/>
                <w:szCs w:val="18"/>
              </w:rPr>
            </w:pPr>
            <w:r>
              <w:rPr>
                <w:rFonts w:hint="eastAsia"/>
                <w:sz w:val="18"/>
                <w:szCs w:val="18"/>
              </w:rPr>
              <w:t>公司质量</w:t>
            </w:r>
            <w:r>
              <w:rPr>
                <w:rFonts w:hint="eastAsia"/>
                <w:sz w:val="18"/>
                <w:szCs w:val="18"/>
                <w:lang w:val="en-US" w:eastAsia="zh-CN"/>
              </w:rPr>
              <w:t>环境安全</w:t>
            </w:r>
            <w:r>
              <w:rPr>
                <w:rFonts w:hint="eastAsia"/>
                <w:sz w:val="18"/>
                <w:szCs w:val="18"/>
              </w:rPr>
              <w:t>管理体系文件包括：质量手册、程序文件、作业文件、外来文件、记录等。已建立“受控文件清单”。查：公司质量</w:t>
            </w:r>
            <w:r>
              <w:rPr>
                <w:rFonts w:hint="eastAsia"/>
                <w:sz w:val="18"/>
                <w:szCs w:val="18"/>
                <w:lang w:val="en-US" w:eastAsia="zh-CN"/>
              </w:rPr>
              <w:t>环境安全</w:t>
            </w:r>
            <w:r>
              <w:rPr>
                <w:rFonts w:hint="eastAsia"/>
                <w:sz w:val="18"/>
                <w:szCs w:val="18"/>
              </w:rPr>
              <w:t>《管理手册》、《程序文件》为依据GB/T19001-2016版编制，于20</w:t>
            </w:r>
            <w:r>
              <w:rPr>
                <w:rFonts w:hint="eastAsia"/>
                <w:sz w:val="18"/>
                <w:szCs w:val="18"/>
                <w:lang w:val="en-US" w:eastAsia="zh-CN"/>
              </w:rPr>
              <w:t>21</w:t>
            </w:r>
            <w:r>
              <w:rPr>
                <w:rFonts w:hint="eastAsia"/>
                <w:sz w:val="18"/>
                <w:szCs w:val="18"/>
              </w:rPr>
              <w:t>年01月</w:t>
            </w:r>
            <w:r>
              <w:rPr>
                <w:rFonts w:hint="eastAsia"/>
                <w:sz w:val="18"/>
                <w:szCs w:val="18"/>
                <w:lang w:val="en-US" w:eastAsia="zh-CN"/>
              </w:rPr>
              <w:t>4</w:t>
            </w:r>
            <w:r>
              <w:rPr>
                <w:rFonts w:hint="eastAsia"/>
                <w:sz w:val="18"/>
                <w:szCs w:val="18"/>
              </w:rPr>
              <w:t>日发布实施，目前版本为A版。由管理者代表审核，总经理批准后发布。</w:t>
            </w:r>
          </w:p>
          <w:p>
            <w:pPr>
              <w:rPr>
                <w:sz w:val="18"/>
                <w:szCs w:val="18"/>
              </w:rPr>
            </w:pPr>
            <w:r>
              <w:rPr>
                <w:rFonts w:hint="eastAsia"/>
                <w:sz w:val="18"/>
                <w:szCs w:val="18"/>
              </w:rPr>
              <w:t>查：“文件发放、回收记录”，内容涵盖：序号、文件名称、编号、发放号（部门、签收、日期、份数）、发放记录、回收记录等。 质量手册、程序文件、作业文件已发放各部门，有签收部门确认。</w:t>
            </w:r>
          </w:p>
          <w:p>
            <w:pPr>
              <w:rPr>
                <w:sz w:val="18"/>
                <w:szCs w:val="18"/>
              </w:rPr>
            </w:pPr>
            <w:r>
              <w:rPr>
                <w:rFonts w:hint="eastAsia"/>
                <w:sz w:val="18"/>
                <w:szCs w:val="18"/>
              </w:rPr>
              <w:t>规定对所有失效文件，从使用场所回收并填写《文件销毁申请单》经总经理批准后要加盖“作废”印章，统一销毁。</w:t>
            </w:r>
          </w:p>
          <w:p>
            <w:pPr>
              <w:rPr>
                <w:sz w:val="18"/>
                <w:szCs w:val="18"/>
              </w:rPr>
            </w:pPr>
            <w:r>
              <w:rPr>
                <w:rFonts w:hint="eastAsia"/>
                <w:sz w:val="18"/>
                <w:szCs w:val="18"/>
              </w:rPr>
              <w:t>文件更改采用局部修改、换页、换版等方式。</w:t>
            </w:r>
          </w:p>
          <w:p>
            <w:pPr>
              <w:rPr>
                <w:sz w:val="18"/>
                <w:szCs w:val="18"/>
              </w:rPr>
            </w:pPr>
            <w:r>
              <w:rPr>
                <w:rFonts w:hint="eastAsia"/>
                <w:sz w:val="18"/>
                <w:szCs w:val="18"/>
              </w:rPr>
              <w:t>查：有“外来文件清单”记录了《产品质量法》等外来文件，控制分发，有专人负责。</w:t>
            </w:r>
          </w:p>
          <w:p>
            <w:pPr>
              <w:rPr>
                <w:sz w:val="18"/>
                <w:szCs w:val="18"/>
              </w:rPr>
            </w:pPr>
            <w:r>
              <w:rPr>
                <w:rFonts w:hint="eastAsia"/>
                <w:sz w:val="18"/>
                <w:szCs w:val="18"/>
              </w:rPr>
              <w:t>已建立“记录清单”内容含盖：序号、记录名称、记录编号、保存部门、保存期限。</w:t>
            </w:r>
          </w:p>
          <w:p>
            <w:pPr>
              <w:rPr>
                <w:sz w:val="18"/>
                <w:szCs w:val="18"/>
              </w:rPr>
            </w:pPr>
            <w:r>
              <w:rPr>
                <w:rFonts w:hint="eastAsia"/>
                <w:sz w:val="18"/>
                <w:szCs w:val="18"/>
              </w:rPr>
              <w:t>现场查看，文件、记录保持清晰，保存完好。</w:t>
            </w:r>
          </w:p>
          <w:p>
            <w:pPr>
              <w:tabs>
                <w:tab w:val="left" w:pos="540"/>
              </w:tabs>
              <w:spacing w:line="240" w:lineRule="exact"/>
              <w:rPr>
                <w:rFonts w:ascii="宋体" w:hAnsi="宋体"/>
                <w:b/>
                <w:color w:val="000000" w:themeColor="text1"/>
                <w:sz w:val="20"/>
                <w:szCs w:val="20"/>
              </w:rPr>
            </w:pPr>
            <w:r>
              <w:rPr>
                <w:rFonts w:hint="eastAsia"/>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rPr>
                <w:rFonts w:hint="eastAsia" w:ascii="Times New Roman" w:hAnsi="Times New Roman" w:eastAsia="宋体" w:cs="Times New Roman"/>
                <w:sz w:val="18"/>
                <w:szCs w:val="18"/>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hint="eastAsia" w:ascii="宋体" w:hAnsi="宋体" w:eastAsia="宋体"/>
                <w:b/>
                <w:color w:val="000000" w:themeColor="text1"/>
                <w:sz w:val="20"/>
                <w:szCs w:val="20"/>
                <w:lang w:eastAsia="zh-CN"/>
              </w:rPr>
            </w:pPr>
            <w:r>
              <w:rPr>
                <w:rFonts w:hint="eastAsia" w:ascii="Times New Roman" w:hAnsi="Times New Roman" w:eastAsia="宋体" w:cs="Times New Roman"/>
                <w:sz w:val="18"/>
                <w:szCs w:val="18"/>
              </w:rPr>
              <w:t>已识别与质量</w:t>
            </w:r>
            <w:r>
              <w:rPr>
                <w:rFonts w:hint="eastAsia" w:ascii="Times New Roman" w:hAnsi="Times New Roman" w:eastAsia="宋体" w:cs="Times New Roman"/>
                <w:sz w:val="18"/>
                <w:szCs w:val="18"/>
                <w:lang w:val="en-US" w:eastAsia="zh-CN"/>
              </w:rPr>
              <w:t>环境安全</w:t>
            </w:r>
            <w:r>
              <w:rPr>
                <w:rFonts w:hint="eastAsia" w:ascii="Times New Roman" w:hAnsi="Times New Roman" w:eastAsia="宋体" w:cs="Times New Roman"/>
                <w:sz w:val="18"/>
                <w:szCs w:val="18"/>
              </w:rPr>
              <w:t>管理相关人员：总经理、综合部、销售部负责人等，提供了部门、岗位人员职责权限及任职要求。新进员工已制定岗前培训计划。公司无特殊工种</w:t>
            </w:r>
            <w:r>
              <w:rPr>
                <w:rFonts w:hint="eastAsia" w:ascii="Times New Roman" w:hAnsi="Times New Roman" w:eastAsia="宋体"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b/>
                <w:color w:val="000000" w:themeColor="text1"/>
                <w:sz w:val="20"/>
                <w:szCs w:val="20"/>
              </w:rPr>
            </w:pPr>
            <w:r>
              <w:rPr>
                <w:rFonts w:hint="eastAsia" w:eastAsia="宋体"/>
                <w:sz w:val="18"/>
                <w:szCs w:val="18"/>
                <w:lang w:val="en-US" w:eastAsia="zh-CN"/>
              </w:rPr>
              <w:t>公司位于写字楼8层、20</w:t>
            </w:r>
            <w:r>
              <w:rPr>
                <w:rFonts w:hint="default" w:eastAsia="宋体"/>
                <w:sz w:val="18"/>
                <w:szCs w:val="18"/>
                <w:lang w:val="en-US" w:eastAsia="zh-CN"/>
              </w:rPr>
              <w:t>平米左右，配备了电话，电脑、打印机、复印机、空调、办公桌椅等办公和通讯等设备/设施。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sz w:val="18"/>
                <w:szCs w:val="18"/>
              </w:rPr>
            </w:pPr>
            <w:r>
              <w:rPr>
                <w:rFonts w:hint="eastAsia"/>
                <w:sz w:val="18"/>
                <w:szCs w:val="18"/>
              </w:rPr>
              <w:t>日常办公在写字楼内进行，消防由物业公司负责统一管理。</w:t>
            </w:r>
          </w:p>
          <w:p>
            <w:pPr>
              <w:rPr>
                <w:sz w:val="18"/>
                <w:szCs w:val="18"/>
              </w:rPr>
            </w:pPr>
            <w:r>
              <w:rPr>
                <w:rFonts w:hint="eastAsia"/>
                <w:sz w:val="18"/>
                <w:szCs w:val="18"/>
              </w:rPr>
              <w:t>开发主要工作场所为公司办公场所，现场查看：1、办公现场环境整洁，秩序良好。2、办公区内有消防器材，有效期内。3、办公设备放置合理整齐。</w:t>
            </w:r>
          </w:p>
          <w:p>
            <w:pPr>
              <w:rPr>
                <w:rFonts w:ascii="宋体" w:hAnsi="宋体"/>
                <w:b/>
                <w:color w:val="000000" w:themeColor="text1"/>
                <w:sz w:val="20"/>
                <w:szCs w:val="20"/>
              </w:rPr>
            </w:pPr>
            <w:r>
              <w:rPr>
                <w:rFonts w:hint="eastAsia"/>
                <w:sz w:val="18"/>
                <w:szCs w:val="18"/>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sz w:val="18"/>
                <w:szCs w:val="18"/>
                <w:lang w:eastAsia="zh-CN"/>
              </w:rPr>
            </w:pPr>
            <w:r>
              <w:rPr>
                <w:rFonts w:hint="eastAsia"/>
                <w:b/>
                <w:bCs/>
                <w:sz w:val="18"/>
                <w:szCs w:val="18"/>
              </w:rPr>
              <w:t>监视和测量资源</w:t>
            </w:r>
            <w:r>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lang w:eastAsia="zh-CN"/>
              </w:rPr>
              <w:t>。</w:t>
            </w:r>
          </w:p>
          <w:p>
            <w:pPr>
              <w:rPr>
                <w:rFonts w:hint="default"/>
                <w:sz w:val="18"/>
                <w:szCs w:val="18"/>
                <w:lang w:val="en-US"/>
              </w:rPr>
            </w:pPr>
            <w:r>
              <w:rPr>
                <w:rFonts w:hint="eastAsia"/>
                <w:sz w:val="18"/>
                <w:szCs w:val="18"/>
                <w:lang w:val="en-US" w:eastAsia="zh-CN"/>
              </w:rPr>
              <w:t>另计量器具：钢尺、用于测量产品尺寸；目前由于顾客要求相对较低、只要不出现较大误差均可接受；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sz w:val="18"/>
                <w:szCs w:val="18"/>
              </w:rPr>
            </w:pPr>
            <w:r>
              <w:rPr>
                <w:rFonts w:hint="eastAsia" w:ascii="宋体" w:hAnsi="宋体"/>
                <w:b/>
                <w:color w:val="000000" w:themeColor="text1"/>
                <w:sz w:val="20"/>
                <w:szCs w:val="20"/>
              </w:rPr>
              <w:t>知识</w:t>
            </w:r>
            <w:r>
              <w:rPr>
                <w:rFonts w:hint="eastAsia"/>
                <w:sz w:val="18"/>
                <w:szCs w:val="18"/>
              </w:rPr>
              <w:t>综合部负责公司知识管理的协调工作、无形资产的管理、信息系统的建设与管理以及公司所有制度文件和资料的管理和控制工作并对内、外部知识进行确定、维护、发放与管理。</w:t>
            </w:r>
          </w:p>
          <w:p>
            <w:pPr>
              <w:rPr>
                <w:rFonts w:ascii="宋体" w:hAnsi="宋体"/>
                <w:b/>
                <w:color w:val="000000" w:themeColor="text1"/>
                <w:sz w:val="20"/>
                <w:szCs w:val="20"/>
              </w:rPr>
            </w:pPr>
            <w:r>
              <w:rPr>
                <w:rFonts w:hint="eastAsia"/>
                <w:sz w:val="18"/>
                <w:szCs w:val="18"/>
              </w:rPr>
              <w:t>已识别的公司内部知识包括：公司信息、专业技术知识、项目积累三大类。主要有：人员的工作经历、经验、技能、作业文件、工作程序等。外部知识包括：外来资料、市场信息两大类。主要有：法律法规：《中华人民共和国产品质量法》、《中华人民共和国产品标准化法》、《中华人民共和国知识产权法》、《中华人民共和国合同法》、客户提供作业流程、GB/T19001-2016标准等。已制定培训计划组织学习相关知识，并按要求不断更新</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Times New Roman" w:hAnsi="Times New Roman" w:eastAsia="宋体" w:cs="Times New Roman"/>
                <w:sz w:val="18"/>
                <w:szCs w:val="18"/>
                <w:lang w:val="en-US" w:eastAsia="zh-CN"/>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Times New Roman" w:hAnsi="Times New Roman" w:eastAsia="宋体" w:cs="Times New Roman"/>
                <w:sz w:val="18"/>
                <w:szCs w:val="18"/>
                <w:lang w:val="en-US" w:eastAsia="zh-CN"/>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sz w:val="18"/>
                <w:szCs w:val="18"/>
              </w:rPr>
              <w:t>企业策划</w:t>
            </w:r>
            <w:r>
              <w:rPr>
                <w:rFonts w:hint="eastAsia" w:ascii="Times New Roman" w:hAnsi="Times New Roman" w:eastAsia="宋体" w:cs="Times New Roman"/>
                <w:sz w:val="18"/>
                <w:szCs w:val="18"/>
              </w:rPr>
              <w:t>并制定了质量</w:t>
            </w:r>
            <w:r>
              <w:rPr>
                <w:rFonts w:hint="eastAsia" w:ascii="Times New Roman" w:hAnsi="Times New Roman" w:eastAsia="宋体" w:cs="Times New Roman"/>
                <w:sz w:val="18"/>
                <w:szCs w:val="18"/>
                <w:lang w:val="en-US" w:eastAsia="zh-CN"/>
              </w:rPr>
              <w:t>环境安全</w:t>
            </w:r>
            <w:r>
              <w:rPr>
                <w:rFonts w:hint="eastAsia" w:ascii="Times New Roman" w:hAnsi="Times New Roman" w:eastAsia="宋体" w:cs="Times New Roman"/>
                <w:sz w:val="18"/>
                <w:szCs w:val="18"/>
              </w:rPr>
              <w:t>方针：“诚信守法，规范技术服务；预防污染，关注健康安全；降低风险，减少人员伤害；持续改进，满足顾客需求”</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rPr>
              <w:t>方针在质量手册中予以规定，经总经理批准实施。质量方针体现了标准的要求，包括：公司的宗旨和环境并支持其战略方</w:t>
            </w:r>
            <w:r>
              <w:rPr>
                <w:rFonts w:hint="eastAsia"/>
                <w:sz w:val="18"/>
                <w:szCs w:val="18"/>
              </w:rPr>
              <w:t>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宋体" w:hAnsi="宋体"/>
                <w:bCs/>
                <w:sz w:val="18"/>
                <w:szCs w:val="18"/>
              </w:rPr>
            </w:pPr>
            <w:r>
              <w:rPr>
                <w:rFonts w:hint="eastAsia" w:ascii="楷体_GB2312" w:eastAsia="楷体_GB2312"/>
                <w:b/>
                <w:color w:val="000000" w:themeColor="text1"/>
                <w:sz w:val="20"/>
                <w:szCs w:val="20"/>
              </w:rPr>
              <w:t>内部沟通的情况：内部沟通方式：</w:t>
            </w:r>
            <w:r>
              <w:rPr>
                <w:rFonts w:hint="eastAsia" w:ascii="宋体" w:hAnsi="宋体"/>
                <w:bCs/>
                <w:sz w:val="18"/>
                <w:szCs w:val="18"/>
              </w:rPr>
              <w:t>内部沟通方式：会议、数据信息传递、网络传播</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bCs/>
                <w:color w:val="000000"/>
                <w:sz w:val="18"/>
                <w:szCs w:val="18"/>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bCs/>
                <w:color w:val="000000"/>
                <w:sz w:val="18"/>
                <w:szCs w:val="18"/>
              </w:rPr>
              <w:t>客户、供应商、</w:t>
            </w:r>
          </w:p>
          <w:p>
            <w:pPr>
              <w:spacing w:line="240" w:lineRule="exact"/>
              <w:rPr>
                <w:rFonts w:hint="default" w:ascii="楷体_GB2312" w:eastAsia="宋体"/>
                <w:b/>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宋体" w:hAnsi="宋体"/>
                <w:bCs/>
                <w:color w:val="000000"/>
                <w:sz w:val="18"/>
                <w:szCs w:val="18"/>
              </w:rPr>
              <w:t>政府部门及其他相关方的沟通等</w:t>
            </w:r>
            <w:r>
              <w:rPr>
                <w:rFonts w:hint="eastAsia" w:ascii="宋体" w:hAnsi="宋体"/>
                <w:bCs/>
                <w:color w:val="000000"/>
                <w:sz w:val="18"/>
                <w:szCs w:val="18"/>
                <w:lang w:eastAsia="zh-CN"/>
              </w:rPr>
              <w:t>、</w:t>
            </w:r>
            <w:r>
              <w:rPr>
                <w:rFonts w:hint="eastAsia" w:ascii="宋体" w:hAnsi="宋体"/>
                <w:bCs/>
                <w:color w:val="000000"/>
                <w:sz w:val="18"/>
                <w:szCs w:val="18"/>
                <w:lang w:val="en-US" w:eastAsia="zh-CN"/>
              </w:rPr>
              <w:t>及时响应；</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bCs/>
                <w:color w:val="000000"/>
                <w:sz w:val="18"/>
                <w:szCs w:val="18"/>
              </w:rPr>
              <w:t>政府部门及其他相关方的沟通等</w:t>
            </w:r>
            <w:r>
              <w:rPr>
                <w:rFonts w:hint="eastAsia" w:ascii="宋体" w:hAnsi="宋体"/>
                <w:bCs/>
                <w:color w:val="000000"/>
                <w:sz w:val="18"/>
                <w:szCs w:val="18"/>
                <w:lang w:eastAsia="zh-CN"/>
              </w:rPr>
              <w:t>、</w:t>
            </w:r>
            <w:r>
              <w:rPr>
                <w:rFonts w:hint="eastAsia" w:ascii="宋体" w:hAnsi="宋体"/>
                <w:bCs/>
                <w:color w:val="000000"/>
                <w:sz w:val="18"/>
                <w:szCs w:val="18"/>
                <w:lang w:val="en-US" w:eastAsia="zh-CN"/>
              </w:rPr>
              <w:t>及时响应；</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ascii="宋体" w:hAnsi="宋体" w:eastAsia="宋体" w:cs="Times New Roman"/>
                <w:bCs/>
                <w:color w:val="000000"/>
                <w:sz w:val="18"/>
                <w:szCs w:val="18"/>
                <w:lang w:val="en-US" w:eastAsia="zh-CN"/>
              </w:rPr>
              <w:t>符合规定；</w:t>
            </w:r>
          </w:p>
          <w:p>
            <w:pPr>
              <w:spacing w:line="240" w:lineRule="exact"/>
              <w:rPr>
                <w:rFonts w:hint="default" w:ascii="楷体_GB2312" w:eastAsia="楷体_GB2312"/>
                <w:b/>
                <w:color w:val="000000" w:themeColor="text1"/>
                <w:szCs w:val="21"/>
                <w:lang w:val="en-US" w:eastAsia="zh-CN"/>
              </w:rPr>
            </w:pPr>
            <w:r>
              <w:rPr>
                <w:rFonts w:hint="eastAsia" w:ascii="楷体_GB2312" w:eastAsia="楷体_GB2312"/>
                <w:b/>
                <w:color w:val="000000" w:themeColor="text1"/>
                <w:szCs w:val="21"/>
              </w:rPr>
              <w:t>与相关方协商的情况（OHSMS填写）：</w:t>
            </w:r>
            <w:r>
              <w:rPr>
                <w:rFonts w:hint="eastAsia" w:ascii="宋体" w:hAnsi="宋体" w:eastAsia="宋体" w:cs="Times New Roman"/>
                <w:bCs/>
                <w:color w:val="000000"/>
                <w:sz w:val="18"/>
                <w:szCs w:val="18"/>
                <w:lang w:val="en-US" w:eastAsia="zh-CN"/>
              </w:rPr>
              <w:t>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default" w:eastAsia="宋体"/>
                <w:b/>
                <w:color w:val="000000" w:themeColor="text1"/>
                <w:sz w:val="20"/>
                <w:szCs w:val="20"/>
                <w:lang w:val="en-US" w:eastAsia="zh-CN"/>
              </w:rPr>
            </w:pPr>
            <w:r>
              <w:rPr>
                <w:rFonts w:hint="eastAsia" w:ascii="宋体" w:hAnsi="宋体" w:eastAsia="宋体" w:cs="Times New Roman"/>
                <w:bCs/>
                <w:color w:val="000000"/>
                <w:sz w:val="18"/>
                <w:szCs w:val="18"/>
                <w:lang w:val="en-US" w:eastAsia="zh-CN"/>
              </w:rPr>
              <w:t>控制基本有效、符合规定；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default" w:ascii="宋体" w:hAnsi="宋体" w:eastAsia="宋体" w:cs="Times New Roman"/>
                <w:bCs/>
                <w:color w:val="000000"/>
                <w:sz w:val="18"/>
                <w:szCs w:val="18"/>
                <w:lang w:val="en-US" w:eastAsia="zh-CN"/>
              </w:rPr>
            </w:pPr>
            <w:r>
              <w:rPr>
                <w:rFonts w:hint="eastAsia" w:ascii="宋体" w:hAnsi="宋体" w:eastAsia="宋体" w:cs="Times New Roman"/>
                <w:bCs/>
                <w:color w:val="000000"/>
                <w:sz w:val="18"/>
                <w:szCs w:val="18"/>
                <w:lang w:val="en-US" w:eastAsia="zh-CN"/>
              </w:rPr>
              <w:t>满足顾客要求、符合规定；</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(应说明相关证据)：</w:t>
            </w:r>
            <w:r>
              <w:rPr>
                <w:rFonts w:hint="eastAsia"/>
                <w:b/>
                <w:color w:val="000000" w:themeColor="text1"/>
                <w:sz w:val="20"/>
                <w:szCs w:val="20"/>
                <w:lang w:val="en-US" w:eastAsia="zh-CN"/>
              </w:rPr>
              <w:t>顾客满意调查表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基本有效、符合规定；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val="0"/>
                <w:bCs/>
                <w:color w:val="000000" w:themeColor="text1"/>
                <w:sz w:val="20"/>
                <w:szCs w:val="20"/>
                <w:lang w:val="en-US" w:eastAsia="zh-CN"/>
              </w:rPr>
              <w:t>基本有效、符合规定；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eastAsia="zh-CN"/>
              </w:rPr>
              <w:t>：</w:t>
            </w:r>
            <w:r>
              <w:rPr>
                <w:rFonts w:hint="eastAsia"/>
                <w:b w:val="0"/>
                <w:bCs/>
                <w:color w:val="000000" w:themeColor="text1"/>
                <w:sz w:val="20"/>
                <w:szCs w:val="20"/>
                <w:lang w:val="en-US" w:eastAsia="zh-CN"/>
              </w:rPr>
              <w:t>基本有效、符合规定；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rFonts w:hint="default" w:eastAsia="宋体"/>
                <w:b/>
                <w:color w:val="000000" w:themeColor="text1"/>
                <w:sz w:val="20"/>
                <w:szCs w:val="20"/>
                <w:lang w:val="en-US" w:eastAsia="zh-CN"/>
              </w:rPr>
            </w:pPr>
            <w:r>
              <w:rPr>
                <w:rFonts w:hint="eastAsia"/>
                <w:b/>
                <w:color w:val="000000" w:themeColor="text1"/>
                <w:sz w:val="20"/>
                <w:szCs w:val="20"/>
              </w:rPr>
              <w:t xml:space="preserve">9. 应急准备与相应活动的演练及对预案可行性的评价(当有规定时) </w:t>
            </w:r>
            <w:r>
              <w:rPr>
                <w:rFonts w:hint="eastAsia"/>
                <w:b/>
                <w:color w:val="000000" w:themeColor="text1"/>
                <w:sz w:val="20"/>
                <w:szCs w:val="20"/>
                <w:lang w:eastAsia="zh-CN"/>
              </w:rPr>
              <w:t>：</w:t>
            </w:r>
            <w:r>
              <w:rPr>
                <w:rFonts w:hint="eastAsia"/>
                <w:b w:val="0"/>
                <w:bCs/>
                <w:color w:val="000000" w:themeColor="text1"/>
                <w:sz w:val="20"/>
                <w:szCs w:val="20"/>
                <w:lang w:val="en-US" w:eastAsia="zh-CN"/>
              </w:rPr>
              <w:t>2021.4.6-7、演练</w:t>
            </w:r>
            <w:r>
              <w:rPr>
                <w:rFonts w:hint="eastAsia"/>
                <w:b w:val="0"/>
                <w:bCs/>
                <w:color w:val="000000" w:themeColor="text1"/>
                <w:sz w:val="20"/>
                <w:szCs w:val="20"/>
                <w:lang w:val="en-US" w:eastAsia="zh-CN"/>
              </w:rPr>
              <w:t>基本有效、符合规定；</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default" w:eastAsia="宋体"/>
                <w:b/>
                <w:color w:val="000000" w:themeColor="text1"/>
                <w:sz w:val="20"/>
                <w:szCs w:val="20"/>
                <w:lang w:val="en-US" w:eastAsia="zh-CN"/>
              </w:rPr>
            </w:pPr>
            <w:r>
              <w:rPr>
                <w:rFonts w:hint="eastAsia"/>
                <w:b w:val="0"/>
                <w:bCs/>
                <w:color w:val="000000" w:themeColor="text1"/>
                <w:sz w:val="20"/>
                <w:szCs w:val="20"/>
                <w:lang w:eastAsia="zh-CN"/>
              </w:rPr>
              <w:t>：</w:t>
            </w:r>
            <w:r>
              <w:rPr>
                <w:rFonts w:hint="eastAsia"/>
                <w:b w:val="0"/>
                <w:bCs/>
                <w:color w:val="000000" w:themeColor="text1"/>
                <w:sz w:val="20"/>
                <w:szCs w:val="20"/>
                <w:lang w:val="en-US" w:eastAsia="zh-CN"/>
              </w:rPr>
              <w:t>2021年以来目标已经达成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default" w:eastAsia="宋体"/>
                <w:b/>
                <w:color w:val="000000" w:themeColor="text1"/>
                <w:sz w:val="20"/>
                <w:szCs w:val="20"/>
                <w:lang w:val="en-US" w:eastAsia="zh-CN"/>
              </w:rPr>
            </w:pPr>
            <w:r>
              <w:rPr>
                <w:rFonts w:hint="eastAsia"/>
                <w:b/>
                <w:color w:val="000000" w:themeColor="text1"/>
                <w:sz w:val="20"/>
                <w:szCs w:val="20"/>
              </w:rPr>
              <w:t>2.顾客满意</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2021年以来顾客满意度98%以上；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2021.4.14完成内审、结论：组织体系运行正常；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2021.4.20完成管评、结论：组织体系运行满足适宜性充分性有效性要求；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val="0"/>
                <w:bCs/>
                <w:color w:val="000000" w:themeColor="text1"/>
                <w:sz w:val="20"/>
                <w:szCs w:val="20"/>
                <w:lang w:val="en-US" w:eastAsia="zh-CN"/>
              </w:rPr>
              <w:t>对固废进行必要的监视测量和处置、结论满足要求；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default" w:eastAsia="宋体"/>
                <w:b/>
                <w:color w:val="000000" w:themeColor="text1"/>
                <w:sz w:val="20"/>
                <w:szCs w:val="20"/>
                <w:lang w:val="en-US" w:eastAsia="zh-CN"/>
              </w:rPr>
            </w:pPr>
            <w:r>
              <w:rPr>
                <w:rFonts w:hint="eastAsia"/>
                <w:b/>
                <w:color w:val="000000" w:themeColor="text1"/>
                <w:sz w:val="20"/>
                <w:szCs w:val="20"/>
              </w:rPr>
              <w:t>7. OHSMS是否按规定对职业健康安全项目进行定期测量，结果是否满足相关要求：</w:t>
            </w:r>
            <w:r>
              <w:rPr>
                <w:rFonts w:hint="eastAsia"/>
                <w:b/>
                <w:color w:val="000000" w:themeColor="text1"/>
                <w:sz w:val="20"/>
                <w:szCs w:val="20"/>
                <w:lang w:val="en-US" w:eastAsia="zh-CN"/>
              </w:rPr>
              <w:t>进行了体检、结论：</w:t>
            </w:r>
            <w:r>
              <w:rPr>
                <w:rFonts w:hint="eastAsia"/>
                <w:b w:val="0"/>
                <w:bCs/>
                <w:color w:val="000000" w:themeColor="text1"/>
                <w:sz w:val="20"/>
                <w:szCs w:val="20"/>
                <w:lang w:val="en-US" w:eastAsia="zh-CN"/>
              </w:rPr>
              <w:t>无职业病发生；</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eastAsia="zh-CN"/>
              </w:rPr>
              <w:t>：</w:t>
            </w: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内审不符合1项、纠正措施有效、不符合关闭；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r>
              <w:rPr>
                <w:rFonts w:hint="eastAsia"/>
                <w:sz w:val="22"/>
                <w:szCs w:val="22"/>
              </w:rPr>
              <w:t>QMS</w:t>
            </w:r>
            <w:r>
              <w:rPr>
                <w:rFonts w:hint="eastAsia"/>
                <w:sz w:val="22"/>
                <w:szCs w:val="22"/>
                <w:lang w:val="en-US" w:eastAsia="zh-CN"/>
              </w:rPr>
              <w:t>\EMS\OHSAS</w:t>
            </w:r>
            <w:r>
              <w:rPr>
                <w:rFonts w:hint="eastAsia" w:ascii="宋体" w:hAnsi="宋体"/>
                <w:sz w:val="22"/>
                <w:szCs w:val="22"/>
              </w:rPr>
              <w:t>持续的符合性及运行的有效性，以及与认证范围的持续相关性和适宜性及自我完善机制等</w:t>
            </w:r>
          </w:p>
          <w:tbl>
            <w:tblPr>
              <w:tblStyle w:val="8"/>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8"/>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8"/>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hint="eastAsia" w:ascii="宋体" w:hAnsi="宋体" w:eastAsiaTheme="minorEastAsia"/>
          <w:color w:val="000000"/>
          <w:sz w:val="28"/>
          <w:szCs w:val="28"/>
          <w:lang w:eastAsia="zh-CN"/>
        </w:rPr>
        <w:drawing>
          <wp:inline distT="0" distB="0" distL="114300" distR="114300">
            <wp:extent cx="466725" cy="269875"/>
            <wp:effectExtent l="0" t="0" r="0" b="10160"/>
            <wp:docPr id="3" name="图片 3"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c74c60123d192130dad7e141fe39d"/>
                    <pic:cNvPicPr>
                      <a:picLocks noChangeAspect="1"/>
                    </pic:cNvPicPr>
                  </pic:nvPicPr>
                  <pic:blipFill>
                    <a:blip r:embed="rId6"/>
                    <a:stretch>
                      <a:fillRect/>
                    </a:stretch>
                  </pic:blipFill>
                  <pic:spPr>
                    <a:xfrm>
                      <a:off x="0" y="0"/>
                      <a:ext cx="466725" cy="269875"/>
                    </a:xfrm>
                    <a:prstGeom prst="rect">
                      <a:avLst/>
                    </a:prstGeom>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40715" cy="362585"/>
            <wp:effectExtent l="0" t="0" r="6985"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640715" cy="362585"/>
                    </a:xfrm>
                    <a:prstGeom prst="rect">
                      <a:avLst/>
                    </a:prstGeom>
                    <a:noFill/>
                    <a:ln>
                      <a:noFill/>
                    </a:ln>
                  </pic:spPr>
                </pic:pic>
              </a:graphicData>
            </a:graphic>
          </wp:inline>
        </w:drawing>
      </w:r>
      <w:bookmarkStart w:id="22" w:name="_GoBack"/>
      <w:bookmarkEnd w:id="22"/>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ascii="宋体" w:hAnsi="宋体" w:eastAsiaTheme="minorEastAsia"/>
          <w:color w:val="000000"/>
          <w:sz w:val="28"/>
          <w:szCs w:val="28"/>
          <w:lang w:eastAsia="zh-CN"/>
        </w:rPr>
        <w:drawing>
          <wp:inline distT="0" distB="0" distL="114300" distR="114300">
            <wp:extent cx="466725" cy="269875"/>
            <wp:effectExtent l="0" t="0" r="0" b="10160"/>
            <wp:docPr id="4" name="图片 4"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9c74c60123d192130dad7e141fe39d"/>
                    <pic:cNvPicPr>
                      <a:picLocks noChangeAspect="1"/>
                    </pic:cNvPicPr>
                  </pic:nvPicPr>
                  <pic:blipFill>
                    <a:blip r:embed="rId6"/>
                    <a:stretch>
                      <a:fillRect/>
                    </a:stretch>
                  </pic:blipFill>
                  <pic:spPr>
                    <a:xfrm>
                      <a:off x="0" y="0"/>
                      <a:ext cx="466725" cy="269875"/>
                    </a:xfrm>
                    <a:prstGeom prst="rect">
                      <a:avLst/>
                    </a:prstGeom>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41205"/>
    <w:rsid w:val="10D76BC5"/>
    <w:rsid w:val="298279FD"/>
    <w:rsid w:val="4CFD2ACD"/>
    <w:rsid w:val="6C7D6A46"/>
    <w:rsid w:val="76A97CB8"/>
    <w:rsid w:val="7A001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17</TotalTime>
  <ScaleCrop>false</ScaleCrop>
  <LinksUpToDate>false</LinksUpToDate>
  <CharactersWithSpaces>5057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86138</cp:lastModifiedBy>
  <cp:lastPrinted>2019-05-13T03:19:00Z</cp:lastPrinted>
  <dcterms:modified xsi:type="dcterms:W3CDTF">2021-07-08T03:39:10Z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